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4FF6D" w14:textId="3AAACDD0" w:rsidR="00591209" w:rsidRPr="0065791E" w:rsidRDefault="00E377DA" w:rsidP="0065791E">
      <w:pPr>
        <w:pStyle w:val="Corptext"/>
        <w:ind w:right="142"/>
        <w:jc w:val="both"/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</w:pPr>
      <w:r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7</w:t>
      </w:r>
      <w:r w:rsidR="00591209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. </w:t>
      </w:r>
      <w:r w:rsidR="00155616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Operațiune</w:t>
      </w:r>
      <w:r w:rsidR="00DA4E31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 de importanță </w:t>
      </w:r>
      <w:r w:rsidR="001F6726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strategic</w:t>
      </w:r>
      <w:r w:rsidR="00DA4E31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>ă</w:t>
      </w:r>
      <w:r w:rsidR="001F6726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 –</w:t>
      </w:r>
      <w:r w:rsidR="0071410E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/>
        </w:rPr>
        <w:t xml:space="preserve"> </w:t>
      </w:r>
      <w:r w:rsidR="00591209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>Creşterea capacităţii de îngrijire medicală a pacientului critic cu patologie vasculară cerebrală</w:t>
      </w:r>
      <w:r w:rsidR="009F5B19" w:rsidRPr="0065791E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 xml:space="preserve"> acută</w:t>
      </w:r>
    </w:p>
    <w:p w14:paraId="32C6D97D" w14:textId="07D38369" w:rsidR="0071410E" w:rsidRPr="0065791E" w:rsidRDefault="0071410E" w:rsidP="0065791E">
      <w:pPr>
        <w:pStyle w:val="Default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</w:p>
    <w:p w14:paraId="0DD2D434" w14:textId="728A52F3" w:rsidR="00464308" w:rsidRPr="0065791E" w:rsidRDefault="00464308" w:rsidP="0065791E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65791E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Total FEDR - </w:t>
      </w:r>
      <w:r w:rsidR="00D72B4E" w:rsidRPr="0065791E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7510A4" w:rsidRPr="0065791E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de stabilit</w:t>
      </w:r>
    </w:p>
    <w:p w14:paraId="76397F9F" w14:textId="6DAED11A" w:rsidR="00D72B4E" w:rsidRPr="0065791E" w:rsidRDefault="00D72B4E" w:rsidP="0065791E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65791E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</w:t>
      </w:r>
      <w:r w:rsidR="00E377DA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l</w:t>
      </w:r>
      <w:r w:rsidRPr="0065791E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FSE</w:t>
      </w:r>
      <w:r w:rsidR="00933C93" w:rsidRPr="0065791E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– de stabilit</w:t>
      </w:r>
    </w:p>
    <w:p w14:paraId="69428642" w14:textId="77777777" w:rsidR="001F6726" w:rsidRPr="0065791E" w:rsidRDefault="001F6726" w:rsidP="0065791E">
      <w:pPr>
        <w:spacing w:after="0" w:line="240" w:lineRule="auto"/>
        <w:jc w:val="both"/>
        <w:rPr>
          <w:rFonts w:cstheme="minorHAnsi"/>
          <w:color w:val="002060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497"/>
        <w:gridCol w:w="6954"/>
        <w:gridCol w:w="5090"/>
        <w:gridCol w:w="2979"/>
        <w:gridCol w:w="3903"/>
        <w:gridCol w:w="1941"/>
      </w:tblGrid>
      <w:tr w:rsidR="00D72B4E" w:rsidRPr="0065791E" w14:paraId="7755850F" w14:textId="77777777" w:rsidTr="0024759D">
        <w:trPr>
          <w:tblHeader/>
        </w:trPr>
        <w:tc>
          <w:tcPr>
            <w:tcW w:w="390" w:type="pct"/>
            <w:vMerge w:val="restart"/>
            <w:shd w:val="clear" w:color="auto" w:fill="EAF1DD" w:themeFill="accent3" w:themeFillTint="33"/>
          </w:tcPr>
          <w:p w14:paraId="745F7043" w14:textId="246D8270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>POS</w:t>
            </w:r>
          </w:p>
          <w:p w14:paraId="3F14A0DA" w14:textId="5D3D36C3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>Prioritate/ Fond</w:t>
            </w:r>
          </w:p>
          <w:p w14:paraId="58F0C514" w14:textId="0C62A305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610" w:type="pct"/>
            <w:vMerge w:val="restart"/>
            <w:shd w:val="clear" w:color="auto" w:fill="EAF1DD" w:themeFill="accent3" w:themeFillTint="33"/>
          </w:tcPr>
          <w:p w14:paraId="38258451" w14:textId="6160C84B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1193" w:type="pct"/>
            <w:vMerge w:val="restart"/>
            <w:shd w:val="clear" w:color="auto" w:fill="EAF1DD" w:themeFill="accent3" w:themeFillTint="33"/>
          </w:tcPr>
          <w:p w14:paraId="1251F850" w14:textId="16CB218E" w:rsidR="00464308" w:rsidRPr="0065791E" w:rsidRDefault="0024759D" w:rsidP="0065791E">
            <w:pPr>
              <w:jc w:val="both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318" w:type="pct"/>
            <w:gridSpan w:val="2"/>
            <w:shd w:val="clear" w:color="auto" w:fill="EAF1DD" w:themeFill="accent3" w:themeFillTint="33"/>
          </w:tcPr>
          <w:p w14:paraId="2057A2A5" w14:textId="2FA026AF" w:rsidR="00464308" w:rsidRPr="0065791E" w:rsidRDefault="00464308" w:rsidP="0065791E">
            <w:pPr>
              <w:jc w:val="center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489" w:type="pct"/>
            <w:vMerge w:val="restart"/>
            <w:shd w:val="clear" w:color="auto" w:fill="EAF1DD" w:themeFill="accent3" w:themeFillTint="33"/>
          </w:tcPr>
          <w:p w14:paraId="0AE110FE" w14:textId="32E8998E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>Alocări financiare estimative</w:t>
            </w:r>
          </w:p>
        </w:tc>
      </w:tr>
      <w:tr w:rsidR="00883C04" w:rsidRPr="0065791E" w14:paraId="1CC503E0" w14:textId="77777777" w:rsidTr="0024759D">
        <w:trPr>
          <w:tblHeader/>
        </w:trPr>
        <w:tc>
          <w:tcPr>
            <w:tcW w:w="390" w:type="pct"/>
            <w:vMerge/>
            <w:shd w:val="clear" w:color="auto" w:fill="EAF1DD" w:themeFill="accent3" w:themeFillTint="33"/>
          </w:tcPr>
          <w:p w14:paraId="7B1B9946" w14:textId="77777777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610" w:type="pct"/>
            <w:vMerge/>
            <w:shd w:val="clear" w:color="auto" w:fill="EAF1DD" w:themeFill="accent3" w:themeFillTint="33"/>
          </w:tcPr>
          <w:p w14:paraId="6CD3FCC0" w14:textId="77777777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193" w:type="pct"/>
            <w:vMerge/>
            <w:shd w:val="clear" w:color="auto" w:fill="EAF1DD" w:themeFill="accent3" w:themeFillTint="33"/>
          </w:tcPr>
          <w:p w14:paraId="1B94485D" w14:textId="77777777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721" w:type="pct"/>
            <w:shd w:val="clear" w:color="auto" w:fill="EAF1DD" w:themeFill="accent3" w:themeFillTint="33"/>
          </w:tcPr>
          <w:p w14:paraId="22A8DFF1" w14:textId="06B71AB3" w:rsidR="00464308" w:rsidRPr="0065791E" w:rsidRDefault="00464308" w:rsidP="0065791E">
            <w:pPr>
              <w:jc w:val="center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597" w:type="pct"/>
            <w:shd w:val="clear" w:color="auto" w:fill="EAF1DD" w:themeFill="accent3" w:themeFillTint="33"/>
          </w:tcPr>
          <w:p w14:paraId="43A3F751" w14:textId="3987F3C9" w:rsidR="00464308" w:rsidRPr="0065791E" w:rsidRDefault="00464308" w:rsidP="0065791E">
            <w:pPr>
              <w:jc w:val="center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489" w:type="pct"/>
            <w:vMerge/>
            <w:shd w:val="clear" w:color="auto" w:fill="EAF1DD" w:themeFill="accent3" w:themeFillTint="33"/>
          </w:tcPr>
          <w:p w14:paraId="0453C54E" w14:textId="77777777" w:rsidR="00464308" w:rsidRPr="0065791E" w:rsidRDefault="00464308" w:rsidP="0065791E">
            <w:pPr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F60363" w:rsidRPr="0065791E" w14:paraId="661CF62B" w14:textId="77777777" w:rsidTr="0024759D">
        <w:tc>
          <w:tcPr>
            <w:tcW w:w="390" w:type="pct"/>
            <w:vAlign w:val="center"/>
          </w:tcPr>
          <w:p w14:paraId="3EB91C23" w14:textId="4028E9C2" w:rsidR="00F60363" w:rsidRPr="0065791E" w:rsidRDefault="00F60363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Prioritatea 4 </w:t>
            </w:r>
          </w:p>
          <w:p w14:paraId="1A6FB733" w14:textId="77777777" w:rsidR="00F60363" w:rsidRPr="0065791E" w:rsidRDefault="00F60363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  <w:p w14:paraId="5D58EA66" w14:textId="5948D99A" w:rsidR="00F60363" w:rsidRPr="0065791E" w:rsidRDefault="00F60363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1610" w:type="pct"/>
          </w:tcPr>
          <w:p w14:paraId="44713C34" w14:textId="52CA2122" w:rsidR="00F60363" w:rsidRPr="004D3574" w:rsidRDefault="00F60363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OP4</w:t>
            </w:r>
            <w:r w:rsidRPr="0065791E"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  <w:t>:</w:t>
            </w:r>
            <w:r w:rsidR="004D3574" w:rsidRPr="00ED0499">
              <w:rPr>
                <w:rFonts w:asciiTheme="minorHAnsi" w:hAnsiTheme="minorHAnsi" w:cstheme="minorHAnsi"/>
                <w:lang w:val="ro-RO" w:eastAsia="ro-RO"/>
              </w:rPr>
              <w:t xml:space="preserve"> </w:t>
            </w:r>
            <w:r w:rsidR="004D3574"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 w:eastAsia="ro-RO"/>
              </w:rPr>
              <w:t>Dezvoltarea</w:t>
            </w:r>
            <w:r w:rsidR="004D3574" w:rsidRPr="004D3574">
              <w:rPr>
                <w:rFonts w:asciiTheme="minorHAnsi" w:eastAsia="Calibr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structurilor integrate de preluare și îngrijire a pacientului critic</w:t>
            </w:r>
            <w:r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</w:t>
            </w:r>
            <w:r w:rsidR="004D3574"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prin asigurarea i</w:t>
            </w:r>
            <w:r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nfrastructur</w:t>
            </w:r>
            <w:r w:rsidR="004D3574"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ii</w:t>
            </w:r>
            <w:r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spitalice</w:t>
            </w:r>
            <w:r w:rsidR="004D3574"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ști</w:t>
            </w:r>
            <w:r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dedicată adecvată îngrijirii </w:t>
            </w:r>
            <w:r w:rsidR="00780A9D"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medicale a </w:t>
            </w:r>
            <w:r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>pacientului critic cu patologie vasculară cerebrală</w:t>
            </w:r>
            <w:r w:rsidR="00780A9D" w:rsidRPr="004D3574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 acută</w:t>
            </w:r>
          </w:p>
          <w:p w14:paraId="082053A2" w14:textId="77777777" w:rsidR="0024759D" w:rsidRPr="0065791E" w:rsidRDefault="0024759D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iCs/>
                <w:color w:val="002060"/>
                <w:sz w:val="22"/>
                <w:szCs w:val="22"/>
                <w:lang w:val="ro-RO"/>
              </w:rPr>
            </w:pPr>
          </w:p>
          <w:p w14:paraId="471F7659" w14:textId="2D4CF191" w:rsidR="00F60363" w:rsidRPr="0065791E" w:rsidRDefault="00F60363" w:rsidP="0065791E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</w:t>
            </w:r>
            <w:r w:rsidR="0065791E"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:</w:t>
            </w:r>
          </w:p>
          <w:p w14:paraId="53893613" w14:textId="14C419BD" w:rsidR="00F60363" w:rsidRPr="0065791E" w:rsidRDefault="00F60363" w:rsidP="0065791E">
            <w:pPr>
              <w:pStyle w:val="Default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Extinderea infrastructurii existente prin construirea/ înființarea centrelor</w:t>
            </w:r>
            <w:r w:rsidR="00AE794B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/ e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xtinderea/</w:t>
            </w:r>
            <w:r w:rsidR="00AE794B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reabilitarea/</w:t>
            </w:r>
            <w:r w:rsidR="00AE794B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modernizarea/</w:t>
            </w:r>
            <w:r w:rsidR="00AE794B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dotarea infrastructurii existente </w:t>
            </w:r>
          </w:p>
          <w:p w14:paraId="1D920C09" w14:textId="08857263" w:rsidR="00F60363" w:rsidRPr="0065791E" w:rsidRDefault="00F60363" w:rsidP="0065791E">
            <w:pPr>
              <w:pStyle w:val="Default"/>
              <w:numPr>
                <w:ilvl w:val="0"/>
                <w:numId w:val="29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Achiziționarea de echipamente medicale adecvate/ service aparatură spitalicească </w:t>
            </w:r>
            <w:r w:rsidR="00AE794B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- 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ar putea </w:t>
            </w:r>
            <w:r w:rsidR="00AE794B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include următoarele dotări</w:t>
            </w:r>
            <w:r w:rsidR="00780A9D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:</w:t>
            </w:r>
          </w:p>
          <w:p w14:paraId="7D7BD0D5" w14:textId="77777777" w:rsidR="00AE794B" w:rsidRPr="0065791E" w:rsidRDefault="00AE794B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CT</w:t>
            </w:r>
          </w:p>
          <w:p w14:paraId="12076ED9" w14:textId="77777777" w:rsidR="00AE794B" w:rsidRPr="0065791E" w:rsidRDefault="00AE794B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RMN</w:t>
            </w:r>
          </w:p>
          <w:p w14:paraId="4213A196" w14:textId="1629B785" w:rsidR="00F60363" w:rsidRPr="0065791E" w:rsidRDefault="00F60363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Sala de operații hibrid</w:t>
            </w:r>
            <w:r w:rsidR="003A7BF4"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 (CT+ angiograf+operații)</w:t>
            </w:r>
          </w:p>
          <w:p w14:paraId="3A991ACE" w14:textId="75AF3A63" w:rsidR="00F60363" w:rsidRPr="0065791E" w:rsidRDefault="00F60363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Angiograf</w:t>
            </w:r>
            <w:r w:rsidR="00AE794B"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/ CT angiograf hybrid/ angiograf biplan</w:t>
            </w:r>
            <w:r w:rsidR="003A7BF4"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 (2 tuburi)</w:t>
            </w:r>
          </w:p>
          <w:p w14:paraId="3788B6B7" w14:textId="5E37B8B8" w:rsidR="00F60363" w:rsidRPr="0065791E" w:rsidRDefault="00F60363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Dotări sala de terapie </w:t>
            </w:r>
            <w:r w:rsidR="00AE794B"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neurologică/ terapie ATI</w:t>
            </w:r>
          </w:p>
          <w:p w14:paraId="3CF321CA" w14:textId="26930F20" w:rsidR="00F60363" w:rsidRPr="0065791E" w:rsidRDefault="00F60363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Ecograf</w:t>
            </w:r>
            <w:r w:rsidR="00AE794B"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 cu dopler cervical și transcranian</w:t>
            </w:r>
          </w:p>
          <w:p w14:paraId="566416C0" w14:textId="6F3A4E89" w:rsidR="00F60363" w:rsidRPr="0065791E" w:rsidRDefault="00F60363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Laborator analize</w:t>
            </w:r>
          </w:p>
          <w:p w14:paraId="2AE3C5B2" w14:textId="72B80DF9" w:rsidR="00F60363" w:rsidRPr="0065791E" w:rsidRDefault="00F60363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Aparatură anestezie</w:t>
            </w:r>
          </w:p>
          <w:p w14:paraId="19FCF103" w14:textId="7A695445" w:rsidR="00AE794B" w:rsidRPr="0065791E" w:rsidRDefault="00AE794B" w:rsidP="0065791E">
            <w:pPr>
              <w:pStyle w:val="Default"/>
              <w:numPr>
                <w:ilvl w:val="0"/>
                <w:numId w:val="5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Alte echipamente necesare</w:t>
            </w:r>
          </w:p>
          <w:p w14:paraId="51387E2D" w14:textId="77777777" w:rsidR="00F60363" w:rsidRPr="0065791E" w:rsidRDefault="00F60363" w:rsidP="0065791E">
            <w:pPr>
              <w:pStyle w:val="Default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3C018FDA" w14:textId="493D8E09" w:rsidR="00F60363" w:rsidRPr="0065791E" w:rsidRDefault="00F60363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Tratarea pacienților critici </w:t>
            </w:r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 w:eastAsia="ro-RO"/>
              </w:rPr>
              <w:t>cu patologie vasculară cerebrală</w:t>
            </w:r>
            <w:r w:rsidR="00780A9D"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 w:eastAsia="ro-RO"/>
              </w:rPr>
              <w:t xml:space="preserve"> acută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într-un centru de excelență dedicat este cu 28% mai eficient decât tratarea acestora într-un spital general. </w:t>
            </w:r>
          </w:p>
        </w:tc>
        <w:tc>
          <w:tcPr>
            <w:tcW w:w="1193" w:type="pct"/>
          </w:tcPr>
          <w:p w14:paraId="77A093B4" w14:textId="72D373D2" w:rsidR="00A96102" w:rsidRPr="0065791E" w:rsidRDefault="00A96102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iCs/>
                <w:color w:val="002060"/>
              </w:rPr>
            </w:pPr>
            <w:r w:rsidRPr="0065791E">
              <w:rPr>
                <w:rFonts w:cstheme="minorHAnsi"/>
                <w:b/>
                <w:bCs/>
                <w:iCs/>
                <w:color w:val="002060"/>
              </w:rPr>
              <w:t xml:space="preserve">5 </w:t>
            </w:r>
            <w:r w:rsidRPr="0065791E">
              <w:rPr>
                <w:rFonts w:cstheme="minorHAnsi"/>
                <w:b/>
                <w:bCs/>
                <w:color w:val="002060"/>
              </w:rPr>
              <w:t>centre de referință în patologia neurovasculară</w:t>
            </w:r>
            <w:r w:rsidRPr="0065791E">
              <w:rPr>
                <w:rFonts w:cstheme="minorHAnsi"/>
                <w:color w:val="002060"/>
              </w:rPr>
              <w:t xml:space="preserve"> </w:t>
            </w:r>
            <w:r w:rsidRPr="0065791E">
              <w:rPr>
                <w:rFonts w:cstheme="minorHAnsi"/>
                <w:i/>
                <w:iCs/>
                <w:color w:val="002060"/>
              </w:rPr>
              <w:t>(maximum 4 centre regionale și un centru național de excelență)</w:t>
            </w:r>
            <w:r w:rsidRPr="0065791E">
              <w:rPr>
                <w:rFonts w:cstheme="minorHAnsi"/>
                <w:iCs/>
                <w:color w:val="002060"/>
              </w:rPr>
              <w:t>. Acestea asigură tratarea pacienților cu AVC ischemic acut prin trombectomie și a pacienților cu AVC hemoragic prin embolizare (în patologia neurovasculară)</w:t>
            </w:r>
          </w:p>
          <w:p w14:paraId="664F52A7" w14:textId="77777777" w:rsidR="00A96102" w:rsidRPr="0065791E" w:rsidRDefault="00A96102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51ADB06F" w14:textId="77777777" w:rsidR="0024759D" w:rsidRPr="0065791E" w:rsidRDefault="0024759D" w:rsidP="0065791E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NB Localizarea centrelor care vor fi sprijinite va fi în regiunile de dezvoltare unde nu sunt construite cele 3 spitale regionale</w:t>
            </w:r>
          </w:p>
          <w:p w14:paraId="046C4F68" w14:textId="62A17309" w:rsidR="00F60363" w:rsidRPr="0065791E" w:rsidRDefault="00F60363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iCs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721" w:type="pct"/>
          </w:tcPr>
          <w:p w14:paraId="0C1F6639" w14:textId="6933EBD3" w:rsidR="00F60363" w:rsidRPr="0065791E" w:rsidRDefault="00F60363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color w:val="002060"/>
              </w:rPr>
              <w:t xml:space="preserve">Capacitatea infrastructurii de </w:t>
            </w:r>
            <w:r w:rsidR="009F5B19" w:rsidRPr="0065791E">
              <w:rPr>
                <w:rFonts w:cstheme="minorHAnsi"/>
                <w:color w:val="002060"/>
              </w:rPr>
              <w:t>asistență</w:t>
            </w:r>
            <w:r w:rsidRPr="0065791E">
              <w:rPr>
                <w:rFonts w:cstheme="minorHAnsi"/>
                <w:color w:val="002060"/>
              </w:rPr>
              <w:t xml:space="preserve"> medical</w:t>
            </w:r>
            <w:r w:rsidR="009F5B19" w:rsidRPr="0065791E">
              <w:rPr>
                <w:rFonts w:cstheme="minorHAnsi"/>
                <w:color w:val="002060"/>
              </w:rPr>
              <w:t>ă</w:t>
            </w:r>
            <w:r w:rsidRPr="0065791E">
              <w:rPr>
                <w:rFonts w:cstheme="minorHAnsi"/>
                <w:color w:val="002060"/>
              </w:rPr>
              <w:t xml:space="preserve"> sprijinit</w:t>
            </w:r>
            <w:r w:rsidR="009F5B19" w:rsidRPr="0065791E">
              <w:rPr>
                <w:rFonts w:cstheme="minorHAnsi"/>
                <w:color w:val="002060"/>
              </w:rPr>
              <w:t>ă</w:t>
            </w:r>
            <w:r w:rsidR="0024759D" w:rsidRPr="0065791E">
              <w:rPr>
                <w:rFonts w:cstheme="minorHAnsi"/>
                <w:color w:val="002060"/>
              </w:rPr>
              <w:t xml:space="preserve"> </w:t>
            </w:r>
            <w:r w:rsidRPr="0065791E">
              <w:rPr>
                <w:rFonts w:cstheme="minorHAnsi"/>
                <w:color w:val="002060"/>
              </w:rPr>
              <w:t>(persoane/</w:t>
            </w:r>
            <w:r w:rsidR="0024759D" w:rsidRPr="0065791E">
              <w:rPr>
                <w:rFonts w:cstheme="minorHAnsi"/>
                <w:color w:val="002060"/>
              </w:rPr>
              <w:t xml:space="preserve"> </w:t>
            </w:r>
            <w:r w:rsidRPr="0065791E">
              <w:rPr>
                <w:rFonts w:cstheme="minorHAnsi"/>
                <w:color w:val="002060"/>
              </w:rPr>
              <w:t>an</w:t>
            </w:r>
            <w:r w:rsidR="0024759D" w:rsidRPr="0065791E">
              <w:rPr>
                <w:rFonts w:cstheme="minorHAnsi"/>
                <w:color w:val="002060"/>
              </w:rPr>
              <w:t>)</w:t>
            </w:r>
            <w:r w:rsidR="00780A9D" w:rsidRPr="0065791E">
              <w:rPr>
                <w:rStyle w:val="Referinnotdesubsol"/>
                <w:rFonts w:cstheme="minorHAnsi"/>
                <w:color w:val="002060"/>
              </w:rPr>
              <w:footnoteReference w:id="1"/>
            </w:r>
          </w:p>
          <w:p w14:paraId="67BDE201" w14:textId="51684096" w:rsidR="00F60363" w:rsidRPr="0065791E" w:rsidRDefault="0048537C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color w:val="002060"/>
              </w:rPr>
              <w:t>P</w:t>
            </w:r>
            <w:r w:rsidR="00F60363" w:rsidRPr="0065791E">
              <w:rPr>
                <w:rFonts w:cstheme="minorHAnsi"/>
                <w:color w:val="002060"/>
              </w:rPr>
              <w:t>aturi nou înființate în secțiile de reanimare/ terapie intensiv</w:t>
            </w:r>
            <w:r w:rsidRPr="0065791E">
              <w:rPr>
                <w:rFonts w:cstheme="minorHAnsi"/>
                <w:color w:val="002060"/>
              </w:rPr>
              <w:t>ă</w:t>
            </w:r>
            <w:r w:rsidR="00F60363" w:rsidRPr="0065791E">
              <w:rPr>
                <w:rFonts w:cstheme="minorHAnsi"/>
                <w:color w:val="002060"/>
              </w:rPr>
              <w:t xml:space="preserve"> </w:t>
            </w:r>
          </w:p>
          <w:p w14:paraId="4E62F605" w14:textId="33F8480F" w:rsidR="00F60363" w:rsidRPr="0065791E" w:rsidRDefault="00883C04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Echipamente medicale achiziționate</w:t>
            </w:r>
          </w:p>
          <w:p w14:paraId="260321D1" w14:textId="77777777" w:rsidR="00F60363" w:rsidRPr="0065791E" w:rsidRDefault="00F60363" w:rsidP="0065791E">
            <w:pPr>
              <w:ind w:left="226" w:hanging="180"/>
              <w:jc w:val="both"/>
              <w:rPr>
                <w:rFonts w:cstheme="minorHAnsi"/>
                <w:color w:val="002060"/>
              </w:rPr>
            </w:pPr>
          </w:p>
          <w:p w14:paraId="2D68CC3D" w14:textId="4FEF56C8" w:rsidR="00F60363" w:rsidRPr="0065791E" w:rsidRDefault="00F60363" w:rsidP="0065791E">
            <w:pPr>
              <w:pStyle w:val="Listparagraf"/>
              <w:ind w:left="226"/>
              <w:contextualSpacing w:val="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97" w:type="pct"/>
          </w:tcPr>
          <w:p w14:paraId="7FD5ABE3" w14:textId="77777777" w:rsidR="00F60363" w:rsidRDefault="00F60363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color w:val="002060"/>
              </w:rPr>
              <w:t xml:space="preserve">Utilizatori anuali ai </w:t>
            </w:r>
            <w:r w:rsidR="00780A9D" w:rsidRPr="0065791E">
              <w:rPr>
                <w:rFonts w:cstheme="minorHAnsi"/>
                <w:color w:val="002060"/>
              </w:rPr>
              <w:t>unității</w:t>
            </w:r>
            <w:r w:rsidRPr="0065791E">
              <w:rPr>
                <w:rFonts w:cstheme="minorHAnsi"/>
                <w:color w:val="002060"/>
              </w:rPr>
              <w:t xml:space="preserve"> de asisten</w:t>
            </w:r>
            <w:r w:rsidR="00780A9D" w:rsidRPr="0065791E">
              <w:rPr>
                <w:rFonts w:cstheme="minorHAnsi"/>
                <w:color w:val="002060"/>
              </w:rPr>
              <w:t>ță</w:t>
            </w:r>
            <w:r w:rsidRPr="0065791E">
              <w:rPr>
                <w:rFonts w:cstheme="minorHAnsi"/>
                <w:color w:val="002060"/>
              </w:rPr>
              <w:t xml:space="preserve"> medical</w:t>
            </w:r>
            <w:r w:rsidR="00780A9D" w:rsidRPr="0065791E">
              <w:rPr>
                <w:rFonts w:cstheme="minorHAnsi"/>
                <w:color w:val="002060"/>
              </w:rPr>
              <w:t>ă</w:t>
            </w:r>
            <w:r w:rsidRPr="0065791E">
              <w:rPr>
                <w:rFonts w:cstheme="minorHAnsi"/>
                <w:color w:val="002060"/>
              </w:rPr>
              <w:t xml:space="preserve"> nou</w:t>
            </w:r>
            <w:r w:rsidR="00780A9D" w:rsidRPr="0065791E">
              <w:rPr>
                <w:rFonts w:cstheme="minorHAnsi"/>
                <w:color w:val="002060"/>
              </w:rPr>
              <w:t>ă</w:t>
            </w:r>
            <w:r w:rsidRPr="0065791E">
              <w:rPr>
                <w:rFonts w:cstheme="minorHAnsi"/>
                <w:color w:val="002060"/>
              </w:rPr>
              <w:t>/</w:t>
            </w:r>
            <w:r w:rsidR="0048537C" w:rsidRPr="0065791E">
              <w:rPr>
                <w:rFonts w:cstheme="minorHAnsi"/>
                <w:color w:val="002060"/>
              </w:rPr>
              <w:t xml:space="preserve"> </w:t>
            </w:r>
            <w:r w:rsidRPr="0065791E">
              <w:rPr>
                <w:rFonts w:cstheme="minorHAnsi"/>
                <w:color w:val="002060"/>
              </w:rPr>
              <w:t>modernizat</w:t>
            </w:r>
            <w:r w:rsidR="00780A9D" w:rsidRPr="0065791E">
              <w:rPr>
                <w:rFonts w:cstheme="minorHAnsi"/>
                <w:color w:val="002060"/>
              </w:rPr>
              <w:t>ă</w:t>
            </w:r>
            <w:r w:rsidR="009F5B19" w:rsidRPr="0065791E">
              <w:rPr>
                <w:rStyle w:val="Referinnotdesubsol"/>
                <w:rFonts w:cstheme="minorHAnsi"/>
                <w:color w:val="002060"/>
              </w:rPr>
              <w:footnoteReference w:id="2"/>
            </w:r>
            <w:r w:rsidRPr="0065791E">
              <w:rPr>
                <w:rFonts w:cstheme="minorHAnsi"/>
                <w:color w:val="002060"/>
              </w:rPr>
              <w:t xml:space="preserve"> </w:t>
            </w:r>
          </w:p>
          <w:p w14:paraId="364AD13A" w14:textId="77777777" w:rsidR="00883C04" w:rsidRDefault="00883C04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Unități sanitare transformate/recunoscute/acreditate</w:t>
            </w:r>
          </w:p>
          <w:p w14:paraId="00170E53" w14:textId="2B73D8D2" w:rsidR="00883C04" w:rsidRPr="0065791E" w:rsidRDefault="00883C04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Investigații(proceduri)medicale realizate</w:t>
            </w:r>
          </w:p>
        </w:tc>
        <w:tc>
          <w:tcPr>
            <w:tcW w:w="489" w:type="pct"/>
            <w:vAlign w:val="center"/>
          </w:tcPr>
          <w:p w14:paraId="2A9E6C63" w14:textId="77777777" w:rsidR="009F5B19" w:rsidRPr="0065791E" w:rsidRDefault="009F5B19" w:rsidP="0065791E">
            <w:pPr>
              <w:jc w:val="both"/>
              <w:rPr>
                <w:rFonts w:cstheme="minorHAnsi"/>
                <w:b/>
                <w:bCs/>
                <w:color w:val="C00000"/>
              </w:rPr>
            </w:pPr>
            <w:r w:rsidRPr="0065791E">
              <w:rPr>
                <w:rFonts w:cstheme="minorHAnsi"/>
                <w:b/>
                <w:bCs/>
                <w:color w:val="C00000"/>
              </w:rPr>
              <w:t xml:space="preserve">Maximum </w:t>
            </w:r>
          </w:p>
          <w:p w14:paraId="670B1FB8" w14:textId="77777777" w:rsidR="009F5B19" w:rsidRPr="0065791E" w:rsidRDefault="009F5B19" w:rsidP="0065791E">
            <w:pPr>
              <w:jc w:val="both"/>
              <w:rPr>
                <w:rFonts w:cstheme="minorHAnsi"/>
                <w:b/>
                <w:bCs/>
                <w:color w:val="C00000"/>
              </w:rPr>
            </w:pPr>
            <w:r w:rsidRPr="0065791E">
              <w:rPr>
                <w:rFonts w:cstheme="minorHAnsi"/>
                <w:b/>
                <w:bCs/>
                <w:color w:val="C00000"/>
              </w:rPr>
              <w:t xml:space="preserve">50 milioane euro </w:t>
            </w:r>
          </w:p>
          <w:p w14:paraId="7301C059" w14:textId="77777777" w:rsidR="00780A9D" w:rsidRPr="0065791E" w:rsidRDefault="00780A9D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highlight w:val="cyan"/>
                <w:lang w:val="ro-RO"/>
              </w:rPr>
            </w:pPr>
          </w:p>
          <w:p w14:paraId="04F27FC9" w14:textId="63CCDFBF" w:rsidR="00F60363" w:rsidRPr="0065791E" w:rsidRDefault="00040F9A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NB </w:t>
            </w:r>
            <w:r w:rsidR="009F5B19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A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locarea </w:t>
            </w:r>
            <w:r w:rsidR="0024759D"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asistenței financiare nerambursabile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va fi condiționată de efectuarea unui număr minim de proceduri de </w:t>
            </w:r>
            <w:r w:rsidR="00780A9D" w:rsidRPr="0065791E">
              <w:rPr>
                <w:rFonts w:asciiTheme="minorHAnsi" w:hAnsiTheme="minorHAnsi" w:cstheme="minorHAnsi"/>
                <w:iCs/>
                <w:color w:val="002060"/>
                <w:sz w:val="22"/>
                <w:szCs w:val="22"/>
                <w:lang w:val="ro-RO"/>
              </w:rPr>
              <w:t>trombectomie și</w:t>
            </w:r>
            <w:r w:rsidR="0024759D" w:rsidRPr="0065791E">
              <w:rPr>
                <w:rFonts w:asciiTheme="minorHAnsi" w:hAnsiTheme="minorHAnsi" w:cstheme="minorHAnsi"/>
                <w:iCs/>
                <w:color w:val="002060"/>
                <w:sz w:val="22"/>
                <w:szCs w:val="22"/>
                <w:lang w:val="ro-RO"/>
              </w:rPr>
              <w:t xml:space="preserve">/ </w:t>
            </w:r>
            <w:r w:rsidR="00780A9D" w:rsidRPr="0065791E">
              <w:rPr>
                <w:rFonts w:asciiTheme="minorHAnsi" w:hAnsiTheme="minorHAnsi" w:cstheme="minorHAnsi"/>
                <w:iCs/>
                <w:color w:val="002060"/>
                <w:sz w:val="22"/>
                <w:szCs w:val="22"/>
                <w:lang w:val="ro-RO"/>
              </w:rPr>
              <w:t>embolizare</w:t>
            </w:r>
          </w:p>
        </w:tc>
      </w:tr>
      <w:tr w:rsidR="0065791E" w:rsidRPr="0065791E" w14:paraId="0D28836A" w14:textId="77777777" w:rsidTr="0024759D">
        <w:tc>
          <w:tcPr>
            <w:tcW w:w="390" w:type="pct"/>
          </w:tcPr>
          <w:p w14:paraId="0DA90195" w14:textId="77777777" w:rsidR="00E377DA" w:rsidRDefault="00E377DA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6736ECE9" w14:textId="77777777" w:rsidR="00E377DA" w:rsidRDefault="00E377DA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11FF65A" w14:textId="77777777" w:rsidR="00E377DA" w:rsidRDefault="00E377DA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13B01C7E" w14:textId="412B9C82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Prioritatea 6 </w:t>
            </w:r>
          </w:p>
          <w:p w14:paraId="6641CD29" w14:textId="77777777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FEDR</w:t>
            </w:r>
          </w:p>
          <w:p w14:paraId="3B819DC0" w14:textId="7F24151A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highlight w:val="cyan"/>
                <w:lang w:val="ro-RO"/>
              </w:rPr>
            </w:pPr>
          </w:p>
        </w:tc>
        <w:tc>
          <w:tcPr>
            <w:tcW w:w="1610" w:type="pct"/>
          </w:tcPr>
          <w:p w14:paraId="3B753511" w14:textId="42AC7D7B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OP1</w:t>
            </w:r>
            <w:r w:rsidRPr="0065791E"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  <w:t xml:space="preserve">: 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Digitalizarea  și interconectarea sistemului de centre de tromboliz</w:t>
            </w:r>
            <w:r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ă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intravenoasă  existente cu noile centre de referință în patologia neurovasculară </w:t>
            </w:r>
          </w:p>
          <w:p w14:paraId="05D9F603" w14:textId="77777777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2D334861" w14:textId="77777777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</w:t>
            </w:r>
          </w:p>
          <w:p w14:paraId="6F6FFECB" w14:textId="491F5CF2" w:rsidR="0065791E" w:rsidRPr="0065791E" w:rsidRDefault="0065791E" w:rsidP="0065791E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Registru național interactiv</w:t>
            </w:r>
          </w:p>
          <w:p w14:paraId="2229775F" w14:textId="3405585C" w:rsidR="0065791E" w:rsidRPr="0065791E" w:rsidRDefault="0065791E" w:rsidP="0065791E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Interconectarea centrelor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</w:rPr>
              <w:t xml:space="preserve"> </w:t>
            </w: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de referință în patologia neurovasculară cu serviciile de ambulanță și serviciile SMURD</w:t>
            </w:r>
          </w:p>
          <w:p w14:paraId="58E7807C" w14:textId="1282A9BA" w:rsidR="0065791E" w:rsidRPr="005A5440" w:rsidRDefault="0065791E" w:rsidP="0065791E">
            <w:pPr>
              <w:pStyle w:val="Default"/>
              <w:numPr>
                <w:ilvl w:val="0"/>
                <w:numId w:val="22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Dezvoltarea la nivel național a sistemului IT dedicat pacienților cu patologia neurovasculară  </w:t>
            </w:r>
            <w:r w:rsidRPr="0065791E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2"/>
                <w:lang w:val="ro-RO"/>
              </w:rPr>
              <w:t>(ex. software, hardware, mentenență, sistem informatic raportare/ monitorizare/ trasabilitate pacient (centre regionale care asigură tratarea pacienților cu AVC ischemic acut prin tromboliză intravenoasă + 40 de unități OMS 450/2015+ centru de excelența)</w:t>
            </w:r>
          </w:p>
          <w:p w14:paraId="39B60516" w14:textId="16EDDF88" w:rsidR="005A5440" w:rsidRDefault="005A5440" w:rsidP="005A5440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3EA52346" w14:textId="77777777" w:rsidR="005A5440" w:rsidRPr="0065791E" w:rsidRDefault="005A5440" w:rsidP="005A5440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5DFF8A81" w14:textId="49136D5F" w:rsidR="0065791E" w:rsidRPr="0065791E" w:rsidRDefault="0065791E" w:rsidP="0065791E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1193" w:type="pct"/>
          </w:tcPr>
          <w:p w14:paraId="6661B2F7" w14:textId="77777777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Unitățile propuse sunt:</w:t>
            </w:r>
          </w:p>
          <w:p w14:paraId="3A4B3F4E" w14:textId="023823A1" w:rsidR="0065791E" w:rsidRPr="0065791E" w:rsidRDefault="0065791E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b/>
                <w:bCs/>
                <w:iCs/>
                <w:color w:val="002060"/>
              </w:rPr>
              <w:t xml:space="preserve">5 </w:t>
            </w:r>
            <w:r w:rsidRPr="0065791E">
              <w:rPr>
                <w:rFonts w:cstheme="minorHAnsi"/>
                <w:b/>
                <w:bCs/>
                <w:color w:val="002060"/>
              </w:rPr>
              <w:t>centre de referință în patologia neurovasculară</w:t>
            </w:r>
            <w:r w:rsidRPr="0065791E">
              <w:rPr>
                <w:rFonts w:cstheme="minorHAnsi"/>
                <w:color w:val="002060"/>
              </w:rPr>
              <w:t xml:space="preserve"> </w:t>
            </w:r>
            <w:r w:rsidRPr="0065791E">
              <w:rPr>
                <w:rFonts w:cstheme="minorHAnsi"/>
                <w:i/>
                <w:iCs/>
                <w:color w:val="002060"/>
              </w:rPr>
              <w:t>(maximum 4 centre regionale și un centru național de excelență)</w:t>
            </w:r>
            <w:r w:rsidRPr="0065791E">
              <w:rPr>
                <w:rFonts w:cstheme="minorHAnsi"/>
                <w:iCs/>
                <w:color w:val="002060"/>
              </w:rPr>
              <w:t xml:space="preserve"> </w:t>
            </w:r>
          </w:p>
          <w:p w14:paraId="0A5DE6F4" w14:textId="5BD17F1F" w:rsidR="0065791E" w:rsidRPr="0065791E" w:rsidRDefault="0065791E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4F71DF74" w14:textId="45D44F99" w:rsidR="0065791E" w:rsidRPr="0065791E" w:rsidRDefault="0065791E" w:rsidP="0065791E">
            <w:pPr>
              <w:pStyle w:val="Listparagraf"/>
              <w:numPr>
                <w:ilvl w:val="0"/>
                <w:numId w:val="39"/>
              </w:numPr>
              <w:ind w:left="318" w:hanging="318"/>
              <w:jc w:val="both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b/>
                <w:color w:val="002060"/>
              </w:rPr>
              <w:t xml:space="preserve">Unități conform </w:t>
            </w:r>
            <w:r w:rsidRPr="0065791E">
              <w:rPr>
                <w:rFonts w:cstheme="minorHAnsi"/>
                <w:b/>
                <w:bCs/>
                <w:iCs/>
                <w:color w:val="002060"/>
              </w:rPr>
              <w:t>OMS</w:t>
            </w:r>
            <w:r w:rsidRPr="0065791E">
              <w:rPr>
                <w:rFonts w:cstheme="minorHAnsi"/>
                <w:b/>
                <w:color w:val="002060"/>
              </w:rPr>
              <w:t xml:space="preserve"> nr. 450/2015</w:t>
            </w:r>
          </w:p>
          <w:p w14:paraId="2F715E1E" w14:textId="0F5735CC" w:rsidR="0065791E" w:rsidRPr="0065791E" w:rsidRDefault="0065791E" w:rsidP="0065791E">
            <w:pPr>
              <w:pStyle w:val="Default"/>
              <w:ind w:left="3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721" w:type="pct"/>
          </w:tcPr>
          <w:p w14:paraId="118FF4C2" w14:textId="4C11E97E" w:rsidR="0065791E" w:rsidRPr="0065791E" w:rsidRDefault="0065791E" w:rsidP="0065791E">
            <w:pPr>
              <w:jc w:val="both"/>
              <w:rPr>
                <w:rFonts w:cstheme="minorHAnsi"/>
                <w:color w:val="002060"/>
                <w:lang w:val="en-US"/>
              </w:rPr>
            </w:pPr>
            <w:r w:rsidRPr="0065791E">
              <w:rPr>
                <w:rFonts w:cstheme="minorHAnsi"/>
                <w:color w:val="002060"/>
                <w:lang w:val="en-US"/>
              </w:rPr>
              <w:t>Public institutions supported to develop digital services and applications</w:t>
            </w:r>
          </w:p>
        </w:tc>
        <w:tc>
          <w:tcPr>
            <w:tcW w:w="597" w:type="pct"/>
          </w:tcPr>
          <w:p w14:paraId="4FE32086" w14:textId="6F67DF75" w:rsidR="0065791E" w:rsidRPr="0065791E" w:rsidRDefault="0065791E" w:rsidP="0065791E">
            <w:pPr>
              <w:jc w:val="both"/>
              <w:rPr>
                <w:rFonts w:cstheme="minorHAnsi"/>
                <w:color w:val="002060"/>
                <w:lang w:val="en-US"/>
              </w:rPr>
            </w:pPr>
            <w:r w:rsidRPr="0065791E">
              <w:rPr>
                <w:rFonts w:cstheme="minorHAnsi"/>
                <w:color w:val="002060"/>
                <w:lang w:val="en-US"/>
              </w:rPr>
              <w:t>Users of new public digital services and applications</w:t>
            </w:r>
          </w:p>
        </w:tc>
        <w:tc>
          <w:tcPr>
            <w:tcW w:w="489" w:type="pct"/>
            <w:vAlign w:val="center"/>
          </w:tcPr>
          <w:p w14:paraId="13E9D8A2" w14:textId="14E09C88" w:rsidR="0065791E" w:rsidRPr="0065791E" w:rsidRDefault="002F7689" w:rsidP="0065791E">
            <w:pPr>
              <w:jc w:val="both"/>
              <w:rPr>
                <w:rFonts w:cstheme="minorHAnsi"/>
                <w:color w:val="002060"/>
              </w:rPr>
            </w:pPr>
            <w:r>
              <w:rPr>
                <w:rFonts w:cstheme="minorHAnsi"/>
                <w:iCs/>
                <w:color w:val="002060"/>
              </w:rPr>
              <w:t>Urmează a fi stabilite</w:t>
            </w:r>
          </w:p>
        </w:tc>
      </w:tr>
      <w:tr w:rsidR="007877DB" w:rsidRPr="0065791E" w14:paraId="387AB52E" w14:textId="77777777" w:rsidTr="00B16063">
        <w:trPr>
          <w:trHeight w:val="77"/>
        </w:trPr>
        <w:tc>
          <w:tcPr>
            <w:tcW w:w="390" w:type="pct"/>
            <w:vMerge w:val="restart"/>
            <w:vAlign w:val="center"/>
          </w:tcPr>
          <w:p w14:paraId="1B2012F4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358C8F4B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062A16B0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190AD9F1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D60EE06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5F318EE6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69824CB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0501800F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34065F70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9D7F4EC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17B77CC5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587FFCC5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1C4BF36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72D49FFC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45F4E71F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1EACD286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31549873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038B9B4F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14A55A9F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52404F9E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62FF6A4A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627212F0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2DD79421" w14:textId="77777777" w:rsidR="007877DB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  <w:p w14:paraId="127F9465" w14:textId="4D4D6990" w:rsidR="007877DB" w:rsidRPr="0065791E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4</w:t>
            </w:r>
          </w:p>
          <w:p w14:paraId="78937305" w14:textId="77777777" w:rsidR="007877DB" w:rsidRPr="0065791E" w:rsidRDefault="007877DB" w:rsidP="0065791E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highlight w:val="cyan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FSE+</w:t>
            </w:r>
          </w:p>
          <w:p w14:paraId="74F42D15" w14:textId="71F2824E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highlight w:val="cyan"/>
                <w:lang w:val="ro-RO"/>
              </w:rPr>
            </w:pPr>
          </w:p>
        </w:tc>
        <w:tc>
          <w:tcPr>
            <w:tcW w:w="1610" w:type="pct"/>
            <w:vMerge w:val="restart"/>
          </w:tcPr>
          <w:p w14:paraId="076E765D" w14:textId="6698BC3E" w:rsidR="007877DB" w:rsidRPr="0065791E" w:rsidRDefault="007877DB" w:rsidP="007877DB">
            <w:pPr>
              <w:pStyle w:val="Corptext"/>
              <w:ind w:right="142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 OP4</w:t>
            </w: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: </w:t>
            </w:r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Furnizarea de programe de formare a  personalului implicat în diagnosticul și tratamentul patologiei </w:t>
            </w:r>
            <w:proofErr w:type="spellStart"/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neurovasculare</w:t>
            </w:r>
            <w:proofErr w:type="spellEnd"/>
          </w:p>
          <w:p w14:paraId="30D324D2" w14:textId="260D0949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58EB9C91" w14:textId="00AE3F54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</w:t>
            </w:r>
          </w:p>
          <w:p w14:paraId="199F8862" w14:textId="52E80C46" w:rsidR="007877DB" w:rsidRPr="0065791E" w:rsidRDefault="007877DB" w:rsidP="007877DB">
            <w:pPr>
              <w:pStyle w:val="Default"/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Dezvoltarea unui centru de instruire/  excelență, inclusiv dotare (NB accent pe componentă practică a instruirii, săli de curs moderne, digitalizate, cu transmisii live ale procedurilor)</w:t>
            </w:r>
          </w:p>
          <w:p w14:paraId="0E1C77E7" w14:textId="77777777" w:rsidR="007877DB" w:rsidRPr="0065791E" w:rsidRDefault="007877DB" w:rsidP="007877DB">
            <w:pPr>
              <w:pStyle w:val="Default"/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Măsuri</w:t>
            </w:r>
            <w:r w:rsidRPr="0065791E">
              <w:rPr>
                <w:rFonts w:asciiTheme="minorHAnsi" w:eastAsia="Calibri" w:hAnsiTheme="minorHAnsi" w:cstheme="minorHAnsi"/>
                <w:color w:val="002060"/>
                <w:sz w:val="22"/>
                <w:szCs w:val="22"/>
                <w:lang w:val="ro-RO"/>
              </w:rPr>
              <w:t xml:space="preserve"> de dezvoltare a capacității personalului implicat în implementarea  măsurilor destinate pacientului critic cu patologie </w:t>
            </w:r>
            <w:proofErr w:type="spellStart"/>
            <w:r w:rsidRPr="0065791E">
              <w:rPr>
                <w:rFonts w:asciiTheme="minorHAnsi" w:hAnsiTheme="minorHAnsi" w:cstheme="minorHAnsi"/>
                <w:bCs/>
                <w:color w:val="002060"/>
                <w:sz w:val="22"/>
                <w:szCs w:val="22"/>
                <w:lang w:val="ro-RO"/>
              </w:rPr>
              <w:t>neurovasculare</w:t>
            </w:r>
            <w:proofErr w:type="spellEnd"/>
            <w:r w:rsidRPr="0065791E">
              <w:rPr>
                <w:rFonts w:asciiTheme="minorHAnsi" w:eastAsia="Calibri" w:hAnsiTheme="minorHAnsi" w:cstheme="minorHAnsi"/>
                <w:color w:val="002060"/>
                <w:sz w:val="22"/>
                <w:szCs w:val="22"/>
                <w:lang w:val="ro-RO"/>
              </w:rPr>
              <w:t xml:space="preserve"> (ex</w:t>
            </w:r>
            <w:r w:rsidRPr="0065791E">
              <w:rPr>
                <w:rFonts w:asciiTheme="minorHAnsi" w:eastAsia="Calibri" w:hAnsiTheme="minorHAnsi" w:cstheme="minorHAnsi"/>
                <w:i/>
                <w:iCs/>
                <w:color w:val="002060"/>
                <w:sz w:val="22"/>
                <w:szCs w:val="22"/>
                <w:lang w:val="ro-RO"/>
              </w:rPr>
              <w:t>. dezvoltare/ actualizare curriculum formare, derulare sesiuni de formare, evaluare competente/ certificare, etc)</w:t>
            </w:r>
          </w:p>
          <w:p w14:paraId="24A94FDD" w14:textId="77777777" w:rsidR="007877DB" w:rsidRPr="0065791E" w:rsidRDefault="007877DB" w:rsidP="007877DB">
            <w:pPr>
              <w:pStyle w:val="Default"/>
              <w:ind w:left="360"/>
              <w:jc w:val="both"/>
              <w:rPr>
                <w:rFonts w:asciiTheme="minorHAnsi" w:eastAsia="Calibr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eastAsia="Calibri" w:hAnsiTheme="minorHAnsi" w:cstheme="minorHAnsi"/>
                <w:color w:val="002060"/>
                <w:sz w:val="22"/>
                <w:szCs w:val="22"/>
                <w:lang w:val="ro-RO"/>
              </w:rPr>
              <w:t>Programe de formare ar putea implica: sesiuni clasice, sesiuni cu puternică orientare practică (derularea de proceduri specific medicale sub îndrumare etc.), vizite de studii, etc</w:t>
            </w:r>
          </w:p>
          <w:p w14:paraId="5CE5CAC9" w14:textId="3A3C3F1E" w:rsidR="007877DB" w:rsidRPr="0065791E" w:rsidRDefault="007877DB" w:rsidP="007877DB">
            <w:pPr>
              <w:pStyle w:val="Default"/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Formarea practică (</w:t>
            </w:r>
            <w:proofErr w:type="spellStart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peer</w:t>
            </w:r>
            <w:proofErr w:type="spellEnd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to</w:t>
            </w:r>
            <w:proofErr w:type="spellEnd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peer</w:t>
            </w:r>
            <w:proofErr w:type="spellEnd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support</w:t>
            </w:r>
            <w:proofErr w:type="spellEnd"/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) în derularea de proceduri medicale dedicate </w:t>
            </w:r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diagnosticului și tratamentului patologiei </w:t>
            </w:r>
            <w:proofErr w:type="spellStart"/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neurovasculare</w:t>
            </w:r>
            <w:proofErr w:type="spellEnd"/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. </w:t>
            </w:r>
            <w:r w:rsidRPr="0065791E">
              <w:rPr>
                <w:rFonts w:asciiTheme="minorHAnsi" w:hAnsiTheme="minorHAnsi" w:cstheme="minorHAnsi"/>
                <w:bCs/>
                <w:color w:val="002060"/>
                <w:sz w:val="22"/>
                <w:szCs w:val="22"/>
                <w:lang w:val="ro-RO"/>
              </w:rPr>
              <w:t>Un accent important va fi pus pe utilizarea de proceduri inovative în domeniul sprijinit / proceduri minim invazive</w:t>
            </w:r>
          </w:p>
        </w:tc>
        <w:tc>
          <w:tcPr>
            <w:tcW w:w="1193" w:type="pct"/>
            <w:vMerge w:val="restart"/>
          </w:tcPr>
          <w:p w14:paraId="458BA006" w14:textId="3FE20FF6" w:rsidR="007877DB" w:rsidRPr="0065791E" w:rsidRDefault="007877DB" w:rsidP="00B16063">
            <w:pPr>
              <w:spacing w:before="60" w:after="60"/>
              <w:rPr>
                <w:rFonts w:cstheme="minorHAnsi"/>
                <w:b/>
                <w:color w:val="002060"/>
              </w:rPr>
            </w:pPr>
            <w:r w:rsidRPr="0065791E">
              <w:rPr>
                <w:rFonts w:cstheme="minorHAnsi"/>
                <w:color w:val="002060"/>
              </w:rPr>
              <w:t xml:space="preserve">Personal implicat în furnizarea de servicii medicale de </w:t>
            </w:r>
            <w:r w:rsidRPr="0065791E">
              <w:rPr>
                <w:rFonts w:cstheme="minorHAnsi"/>
                <w:bCs/>
                <w:color w:val="002060"/>
              </w:rPr>
              <w:t xml:space="preserve">diagnostic și tratament al patologiei </w:t>
            </w:r>
            <w:proofErr w:type="spellStart"/>
            <w:r w:rsidRPr="0065791E">
              <w:rPr>
                <w:rFonts w:cstheme="minorHAnsi"/>
                <w:bCs/>
                <w:color w:val="002060"/>
              </w:rPr>
              <w:t>neurovasculare</w:t>
            </w:r>
            <w:proofErr w:type="spellEnd"/>
            <w:r w:rsidRPr="0065791E">
              <w:rPr>
                <w:rFonts w:cstheme="minorHAnsi"/>
                <w:bCs/>
                <w:color w:val="002060"/>
              </w:rPr>
              <w:t xml:space="preserve"> ex:</w:t>
            </w:r>
          </w:p>
          <w:p w14:paraId="193F5E3C" w14:textId="5C407E15" w:rsidR="007877DB" w:rsidRPr="0065791E" w:rsidRDefault="007877DB" w:rsidP="00B16063">
            <w:pPr>
              <w:numPr>
                <w:ilvl w:val="0"/>
                <w:numId w:val="23"/>
              </w:numPr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color w:val="002060"/>
              </w:rPr>
              <w:t xml:space="preserve">Medici din specialitățile (neurologie/ neurochirurgie/ </w:t>
            </w:r>
            <w:proofErr w:type="spellStart"/>
            <w:r w:rsidRPr="0065791E">
              <w:rPr>
                <w:rFonts w:cstheme="minorHAnsi"/>
                <w:color w:val="002060"/>
              </w:rPr>
              <w:t>neuroradiologie</w:t>
            </w:r>
            <w:proofErr w:type="spellEnd"/>
            <w:r w:rsidRPr="0065791E">
              <w:rPr>
                <w:rFonts w:cstheme="minorHAnsi"/>
                <w:color w:val="002060"/>
              </w:rPr>
              <w:t xml:space="preserve"> intervențională, radiologie intervențională, cardiologie/ cardiologie intervențională, medici rezidenți, medici ATI, alt personal relevant</w:t>
            </w:r>
          </w:p>
          <w:p w14:paraId="43743D15" w14:textId="77777777" w:rsidR="007877DB" w:rsidRPr="0065791E" w:rsidRDefault="007877DB" w:rsidP="00B16063">
            <w:pPr>
              <w:numPr>
                <w:ilvl w:val="0"/>
                <w:numId w:val="23"/>
              </w:numPr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iCs/>
                <w:color w:val="002060"/>
              </w:rPr>
              <w:t>p</w:t>
            </w:r>
            <w:r w:rsidRPr="0065791E">
              <w:rPr>
                <w:rFonts w:cstheme="minorHAnsi"/>
                <w:color w:val="002060"/>
              </w:rPr>
              <w:t xml:space="preserve">ersonal implicat în furnizarea de servicii conexe actului medical </w:t>
            </w:r>
            <w:r w:rsidRPr="0065791E">
              <w:rPr>
                <w:rFonts w:cstheme="minorHAnsi"/>
                <w:i/>
                <w:iCs/>
                <w:color w:val="002060"/>
              </w:rPr>
              <w:t>(ex. tehnicieni de laborator, tehnicieni imagistică etc)</w:t>
            </w:r>
          </w:p>
          <w:p w14:paraId="60AA5926" w14:textId="2B2BB704" w:rsidR="007877DB" w:rsidRPr="0065791E" w:rsidRDefault="007877DB" w:rsidP="00B16063">
            <w:pPr>
              <w:numPr>
                <w:ilvl w:val="0"/>
                <w:numId w:val="23"/>
              </w:numPr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i/>
                <w:iCs/>
                <w:color w:val="002060"/>
              </w:rPr>
              <w:t>asistente medicale</w:t>
            </w:r>
          </w:p>
          <w:p w14:paraId="3FA45DEF" w14:textId="7F3083E7" w:rsidR="007877DB" w:rsidRPr="0065791E" w:rsidRDefault="007877DB" w:rsidP="00B16063">
            <w:pPr>
              <w:numPr>
                <w:ilvl w:val="0"/>
                <w:numId w:val="23"/>
              </w:numPr>
              <w:rPr>
                <w:rFonts w:eastAsia="Calibri" w:cstheme="minorHAnsi"/>
                <w:i/>
                <w:color w:val="002060"/>
              </w:rPr>
            </w:pPr>
            <w:r w:rsidRPr="0065791E">
              <w:rPr>
                <w:rFonts w:eastAsia="Calibri" w:cstheme="minorHAnsi"/>
                <w:i/>
                <w:color w:val="002060"/>
              </w:rPr>
              <w:t>alt personal medico-sanitar  (</w:t>
            </w:r>
            <w:proofErr w:type="spellStart"/>
            <w:r w:rsidRPr="0065791E">
              <w:rPr>
                <w:rFonts w:eastAsia="Calibri" w:cstheme="minorHAnsi"/>
                <w:i/>
                <w:color w:val="002060"/>
              </w:rPr>
              <w:t>kinetoterapeuți</w:t>
            </w:r>
            <w:proofErr w:type="spellEnd"/>
            <w:r w:rsidRPr="0065791E">
              <w:rPr>
                <w:rFonts w:eastAsia="Calibri" w:cstheme="minorHAnsi"/>
                <w:i/>
                <w:color w:val="002060"/>
              </w:rPr>
              <w:t>, logopezi etc)</w:t>
            </w:r>
          </w:p>
          <w:p w14:paraId="04B51F2C" w14:textId="77777777" w:rsidR="007877DB" w:rsidRPr="0065791E" w:rsidRDefault="007877DB" w:rsidP="00B16063">
            <w:pPr>
              <w:ind w:left="360"/>
              <w:rPr>
                <w:rFonts w:cstheme="minorHAnsi"/>
                <w:color w:val="002060"/>
              </w:rPr>
            </w:pPr>
          </w:p>
          <w:p w14:paraId="76A179BA" w14:textId="6129F73F" w:rsidR="007877DB" w:rsidRPr="0065791E" w:rsidRDefault="007877DB" w:rsidP="00B16063">
            <w:pPr>
              <w:pStyle w:val="Default"/>
              <w:ind w:left="360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721" w:type="pct"/>
          </w:tcPr>
          <w:p w14:paraId="2723A454" w14:textId="29C71345" w:rsidR="007877DB" w:rsidRPr="005A5440" w:rsidRDefault="007877DB" w:rsidP="005A5440">
            <w:pPr>
              <w:jc w:val="both"/>
              <w:rPr>
                <w:rFonts w:cstheme="minorHAnsi"/>
                <w:color w:val="002060"/>
              </w:rPr>
            </w:pPr>
            <w:bookmarkStart w:id="0" w:name="_Hlk52369960"/>
            <w:r w:rsidRPr="005A5440">
              <w:rPr>
                <w:rFonts w:cstheme="minorHAnsi"/>
                <w:color w:val="002060"/>
              </w:rPr>
              <w:t>Centre (regionale) de instruire sprijinite</w:t>
            </w:r>
            <w:bookmarkEnd w:id="0"/>
          </w:p>
          <w:p w14:paraId="6E811634" w14:textId="693DB53C" w:rsidR="007877DB" w:rsidRPr="005A5440" w:rsidRDefault="007877DB" w:rsidP="005A5440">
            <w:pPr>
              <w:jc w:val="both"/>
              <w:rPr>
                <w:rFonts w:cstheme="minorHAnsi"/>
                <w:color w:val="002060"/>
              </w:rPr>
            </w:pPr>
          </w:p>
          <w:p w14:paraId="7F5EB1CF" w14:textId="77777777" w:rsidR="007877DB" w:rsidRPr="005A5440" w:rsidRDefault="007877DB" w:rsidP="005A5440">
            <w:pPr>
              <w:jc w:val="both"/>
              <w:rPr>
                <w:rFonts w:cstheme="minorHAnsi"/>
                <w:color w:val="002060"/>
              </w:rPr>
            </w:pPr>
          </w:p>
          <w:p w14:paraId="78DBF1AB" w14:textId="77777777" w:rsidR="007877DB" w:rsidRPr="005A5440" w:rsidRDefault="007877DB" w:rsidP="005A5440">
            <w:pPr>
              <w:jc w:val="both"/>
              <w:rPr>
                <w:rFonts w:cstheme="minorHAnsi"/>
                <w:color w:val="002060"/>
              </w:rPr>
            </w:pPr>
          </w:p>
          <w:p w14:paraId="1A60C486" w14:textId="77777777" w:rsidR="007877DB" w:rsidRPr="005A5440" w:rsidRDefault="007877DB" w:rsidP="005A5440">
            <w:pPr>
              <w:jc w:val="both"/>
              <w:rPr>
                <w:rFonts w:cstheme="minorHAnsi"/>
                <w:color w:val="002060"/>
              </w:rPr>
            </w:pPr>
          </w:p>
          <w:p w14:paraId="6B98A1E9" w14:textId="26AB9F66" w:rsidR="007877DB" w:rsidRPr="005A5440" w:rsidRDefault="007877DB" w:rsidP="005A5440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597" w:type="pct"/>
          </w:tcPr>
          <w:p w14:paraId="6879747C" w14:textId="2C4FB636" w:rsidR="007877DB" w:rsidRPr="005A5440" w:rsidRDefault="007877DB" w:rsidP="005A5440">
            <w:pPr>
              <w:jc w:val="both"/>
              <w:rPr>
                <w:rFonts w:cstheme="minorHAnsi"/>
                <w:color w:val="002060"/>
              </w:rPr>
            </w:pPr>
            <w:bookmarkStart w:id="1" w:name="_Hlk52369984"/>
            <w:r w:rsidRPr="005A5440">
              <w:rPr>
                <w:rFonts w:cstheme="minorHAnsi"/>
                <w:color w:val="002060"/>
              </w:rPr>
              <w:t>Centre (regionale) de instruire funcționale</w:t>
            </w:r>
            <w:bookmarkEnd w:id="1"/>
          </w:p>
        </w:tc>
        <w:tc>
          <w:tcPr>
            <w:tcW w:w="489" w:type="pct"/>
            <w:vMerge w:val="restart"/>
            <w:vAlign w:val="center"/>
          </w:tcPr>
          <w:p w14:paraId="3EB2ED25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  <w:p w14:paraId="4FE0B3DC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  <w:p w14:paraId="7193750F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  <w:p w14:paraId="07292451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  <w:p w14:paraId="7E280E18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  <w:p w14:paraId="7911BF95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  <w:p w14:paraId="603C1F7B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  <w:p w14:paraId="6DF239F5" w14:textId="2E2744BA" w:rsidR="007877DB" w:rsidRPr="0065791E" w:rsidRDefault="007877DB" w:rsidP="0065791E">
            <w:pPr>
              <w:jc w:val="both"/>
              <w:rPr>
                <w:rFonts w:cstheme="minorHAnsi"/>
                <w:b/>
                <w:color w:val="002060"/>
              </w:rPr>
            </w:pPr>
            <w:r>
              <w:rPr>
                <w:rFonts w:cstheme="minorHAnsi"/>
                <w:b/>
                <w:color w:val="C00000"/>
              </w:rPr>
              <w:t>5</w:t>
            </w:r>
            <w:r w:rsidRPr="0065791E">
              <w:rPr>
                <w:rFonts w:cstheme="minorHAnsi"/>
                <w:b/>
                <w:color w:val="C00000"/>
              </w:rPr>
              <w:t>0 milioane euro</w:t>
            </w:r>
          </w:p>
          <w:p w14:paraId="2A0FBAB7" w14:textId="4718E946" w:rsidR="007877DB" w:rsidRPr="0065791E" w:rsidRDefault="007877DB" w:rsidP="0065791E">
            <w:pPr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7877DB" w:rsidRPr="0065791E" w14:paraId="514E9DC3" w14:textId="77777777" w:rsidTr="00E377DA">
        <w:trPr>
          <w:trHeight w:val="1550"/>
        </w:trPr>
        <w:tc>
          <w:tcPr>
            <w:tcW w:w="390" w:type="pct"/>
            <w:vMerge/>
            <w:vAlign w:val="center"/>
          </w:tcPr>
          <w:p w14:paraId="6C0D2122" w14:textId="638B7850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1610" w:type="pct"/>
            <w:vMerge/>
          </w:tcPr>
          <w:p w14:paraId="4EBD084A" w14:textId="77777777" w:rsidR="007877DB" w:rsidRPr="0065791E" w:rsidRDefault="007877DB" w:rsidP="00E377DA">
            <w:pPr>
              <w:pStyle w:val="Corptext"/>
              <w:ind w:right="142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1193" w:type="pct"/>
            <w:vMerge/>
          </w:tcPr>
          <w:p w14:paraId="44F3F14C" w14:textId="77777777" w:rsidR="007877DB" w:rsidRPr="0065791E" w:rsidRDefault="007877DB" w:rsidP="00E377DA">
            <w:pPr>
              <w:spacing w:before="60" w:after="60"/>
              <w:rPr>
                <w:rFonts w:cstheme="minorHAnsi"/>
                <w:color w:val="002060"/>
              </w:rPr>
            </w:pPr>
          </w:p>
        </w:tc>
        <w:tc>
          <w:tcPr>
            <w:tcW w:w="721" w:type="pct"/>
          </w:tcPr>
          <w:p w14:paraId="54F8128D" w14:textId="77777777" w:rsidR="007877DB" w:rsidRPr="0065791E" w:rsidRDefault="007877DB" w:rsidP="005A5440">
            <w:pPr>
              <w:jc w:val="both"/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color w:val="002060"/>
              </w:rPr>
              <w:t>Persoane care beneficiază de programe de formare</w:t>
            </w:r>
          </w:p>
          <w:p w14:paraId="5D7CD875" w14:textId="77777777" w:rsidR="007877DB" w:rsidRPr="0065791E" w:rsidRDefault="007877DB" w:rsidP="005A5440">
            <w:pPr>
              <w:pStyle w:val="Corptext"/>
              <w:ind w:right="142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597" w:type="pct"/>
          </w:tcPr>
          <w:p w14:paraId="4611CDCB" w14:textId="77777777" w:rsidR="007877DB" w:rsidRDefault="007877DB" w:rsidP="005A5440">
            <w:pPr>
              <w:jc w:val="both"/>
              <w:rPr>
                <w:rFonts w:cstheme="minorHAnsi"/>
                <w:color w:val="002060"/>
              </w:rPr>
            </w:pPr>
            <w:r w:rsidRPr="007877DB">
              <w:rPr>
                <w:rFonts w:cstheme="minorHAnsi"/>
                <w:color w:val="002060"/>
              </w:rPr>
              <w:t>Persoane care și-au îmbunătățit nivelul de calificare/ și-au actualizat cunoștințele și abilitățile profesionale/ au obținut un certificat urmare a sprijinului primit</w:t>
            </w:r>
          </w:p>
          <w:p w14:paraId="1988F745" w14:textId="3410B1A0" w:rsidR="007877DB" w:rsidRPr="0065791E" w:rsidRDefault="007877DB" w:rsidP="005A5440">
            <w:pPr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489" w:type="pct"/>
            <w:vMerge/>
            <w:vAlign w:val="center"/>
          </w:tcPr>
          <w:p w14:paraId="3682C1B9" w14:textId="77777777" w:rsidR="007877DB" w:rsidRDefault="007877DB" w:rsidP="0065791E">
            <w:pPr>
              <w:jc w:val="both"/>
              <w:rPr>
                <w:rFonts w:cstheme="minorHAnsi"/>
                <w:b/>
                <w:color w:val="C00000"/>
              </w:rPr>
            </w:pPr>
          </w:p>
        </w:tc>
      </w:tr>
      <w:tr w:rsidR="007877DB" w:rsidRPr="0065791E" w14:paraId="526238AB" w14:textId="77777777" w:rsidTr="00E377DA">
        <w:trPr>
          <w:trHeight w:val="2113"/>
        </w:trPr>
        <w:tc>
          <w:tcPr>
            <w:tcW w:w="390" w:type="pct"/>
            <w:vMerge/>
            <w:vAlign w:val="center"/>
          </w:tcPr>
          <w:p w14:paraId="09E88A28" w14:textId="2E66510E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1610" w:type="pct"/>
            <w:shd w:val="clear" w:color="auto" w:fill="auto"/>
          </w:tcPr>
          <w:p w14:paraId="2CF3A46D" w14:textId="0C7A82A6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  <w:r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 OP4</w:t>
            </w: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: </w:t>
            </w:r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Implementarea unui program de diagnosticare precoce al pacienților cu criterii de risc în patologia neurovasculoară</w:t>
            </w:r>
          </w:p>
          <w:p w14:paraId="4C533258" w14:textId="77777777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19F7BFEB" w14:textId="77777777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</w:t>
            </w:r>
          </w:p>
          <w:p w14:paraId="56FFB66D" w14:textId="28D8DEC9" w:rsidR="007877DB" w:rsidRPr="0065791E" w:rsidRDefault="007877DB" w:rsidP="007877DB">
            <w:pPr>
              <w:pStyle w:val="Default"/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Furnizarea de servicii de diagnosticare precoce cu aparatură imagistică ultramodernă (ex RMN, CT, angiograf etc.)</w:t>
            </w:r>
          </w:p>
          <w:p w14:paraId="0260475F" w14:textId="264BA4B9" w:rsidR="007877DB" w:rsidRPr="0065791E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65791E">
              <w:rPr>
                <w:rFonts w:eastAsia="Calibri" w:cstheme="minorHAnsi"/>
                <w:color w:val="002060"/>
              </w:rPr>
              <w:t xml:space="preserve">Măsuri de dezvoltare a capacității instituționale de a implementa programul de diagnosticare precoce: ex. </w:t>
            </w:r>
            <w:r w:rsidRPr="0065791E">
              <w:rPr>
                <w:rFonts w:eastAsia="Calibri" w:cstheme="minorHAnsi"/>
                <w:i/>
                <w:color w:val="002060"/>
              </w:rPr>
              <w:t>instruire periodică în managementul programelor de screening, asigurarea și controlul calității programului, certificare servicii, monitorizarea și evaluarea programelor, elaborare studii/ analize/ rapoarte/ monitorizare, crearea de parteneriate, etc.</w:t>
            </w:r>
          </w:p>
          <w:p w14:paraId="429EB00C" w14:textId="29AAA2A5" w:rsidR="007877DB" w:rsidRPr="0065791E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65791E">
              <w:rPr>
                <w:rFonts w:eastAsia="Calibri" w:cstheme="minorHAnsi"/>
                <w:color w:val="002060"/>
              </w:rPr>
              <w:t xml:space="preserve">Măsuri de dezvoltare a abilităților și competențelor personalului implicat în implementarea  programului de diagnosticare precoce, inclusiv personal servicii conexe și personal suport </w:t>
            </w:r>
            <w:r w:rsidRPr="0065791E">
              <w:rPr>
                <w:rFonts w:eastAsia="Calibri" w:cstheme="minorHAnsi"/>
                <w:i/>
                <w:color w:val="002060"/>
              </w:rPr>
              <w:t>(ex. dezvoltare/ actualizare curriculum formare, instruire periodică, evaluare competente/ certificare, etc.)</w:t>
            </w:r>
          </w:p>
          <w:p w14:paraId="5CD4A077" w14:textId="122E5967" w:rsidR="007877DB" w:rsidRPr="0065791E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65791E">
              <w:rPr>
                <w:rFonts w:eastAsia="Calibri" w:cstheme="minorHAnsi"/>
                <w:color w:val="002060"/>
              </w:rPr>
              <w:t>Măsuri de dezvoltare/ actualizare metodologii/ standarde/ ghiduri / actualizarea de costuri etc.</w:t>
            </w:r>
          </w:p>
          <w:p w14:paraId="641CD97C" w14:textId="3EFB0CAC" w:rsidR="007877DB" w:rsidRPr="0065791E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65791E">
              <w:rPr>
                <w:rFonts w:eastAsia="Calibri" w:cstheme="minorHAnsi"/>
                <w:color w:val="002060"/>
              </w:rPr>
              <w:t>Activități logistică și organizare program de testare: costuri de invitare/ reinvitare, costuri call center, etc.</w:t>
            </w:r>
          </w:p>
          <w:p w14:paraId="41D0453C" w14:textId="4BF8AFAA" w:rsidR="007877DB" w:rsidRPr="0065791E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65791E">
              <w:rPr>
                <w:rFonts w:eastAsia="Calibri" w:cstheme="minorHAnsi"/>
                <w:color w:val="002060"/>
              </w:rPr>
              <w:t>Derularea de campanii de informare/ conștientizare (accent pe pacienți/ aparținători)</w:t>
            </w:r>
          </w:p>
          <w:p w14:paraId="1AC8E324" w14:textId="77777777" w:rsidR="007877DB" w:rsidRPr="0065791E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65791E">
              <w:rPr>
                <w:rFonts w:eastAsia="Calibri" w:cstheme="minorHAnsi"/>
                <w:color w:val="002060"/>
              </w:rPr>
              <w:t>Măsuri de informatizare/ digitizare, inclusiv telemedicină</w:t>
            </w:r>
          </w:p>
          <w:p w14:paraId="2348CEDC" w14:textId="77777777" w:rsidR="007877DB" w:rsidRPr="0065791E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65791E">
              <w:rPr>
                <w:rFonts w:eastAsia="Calibri" w:cstheme="minorHAnsi"/>
                <w:color w:val="002060"/>
              </w:rPr>
              <w:t>Alte măsuri necesare implementării măsurilor de diagnosticare</w:t>
            </w:r>
          </w:p>
          <w:p w14:paraId="03E497C6" w14:textId="77777777" w:rsidR="007877DB" w:rsidRDefault="007877DB" w:rsidP="007877DB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>
              <w:rPr>
                <w:rFonts w:eastAsia="Calibri" w:cstheme="minorHAnsi"/>
                <w:color w:val="002060"/>
              </w:rPr>
              <w:t>Alte măsuri ex. a</w:t>
            </w:r>
            <w:r w:rsidRPr="007877DB">
              <w:rPr>
                <w:rFonts w:eastAsia="Calibri" w:cstheme="minorHAnsi"/>
                <w:color w:val="002060"/>
              </w:rPr>
              <w:t>creditarea europeană</w:t>
            </w:r>
          </w:p>
          <w:p w14:paraId="3908D428" w14:textId="1C870C03" w:rsidR="007877DB" w:rsidRPr="0065791E" w:rsidRDefault="007877DB" w:rsidP="007877DB">
            <w:pPr>
              <w:spacing w:before="60"/>
              <w:ind w:left="360"/>
              <w:jc w:val="both"/>
              <w:rPr>
                <w:rFonts w:eastAsia="Calibri" w:cstheme="minorHAnsi"/>
                <w:color w:val="002060"/>
              </w:rPr>
            </w:pPr>
          </w:p>
        </w:tc>
        <w:tc>
          <w:tcPr>
            <w:tcW w:w="1193" w:type="pct"/>
          </w:tcPr>
          <w:p w14:paraId="22BFE224" w14:textId="6547256C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Personal cu factori de risc cardiovascular </w:t>
            </w:r>
            <w:r w:rsidRPr="0065791E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2"/>
                <w:lang w:val="ro-RO"/>
              </w:rPr>
              <w:t xml:space="preserve">(ex anevrism </w:t>
            </w: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2"/>
                <w:lang w:val="ro-RO"/>
              </w:rPr>
              <w:t>î</w:t>
            </w:r>
            <w:r w:rsidRPr="0065791E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2"/>
                <w:lang w:val="ro-RO"/>
              </w:rPr>
              <w:t>n famili</w:t>
            </w:r>
            <w:r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2"/>
                <w:lang w:val="ro-RO"/>
              </w:rPr>
              <w:t>i</w:t>
            </w:r>
            <w:r w:rsidRPr="0065791E">
              <w:rPr>
                <w:rFonts w:asciiTheme="minorHAnsi" w:hAnsiTheme="minorHAnsi" w:cstheme="minorHAnsi"/>
                <w:i/>
                <w:iCs/>
                <w:color w:val="002060"/>
                <w:sz w:val="22"/>
                <w:szCs w:val="22"/>
                <w:lang w:val="ro-RO"/>
              </w:rPr>
              <w:t>/ cu rude care au decedat la vârste tinere în urma unor AVC )</w:t>
            </w:r>
          </w:p>
        </w:tc>
        <w:tc>
          <w:tcPr>
            <w:tcW w:w="721" w:type="pct"/>
          </w:tcPr>
          <w:p w14:paraId="67799C7A" w14:textId="77777777" w:rsidR="007877DB" w:rsidRPr="000F3D13" w:rsidRDefault="007877DB" w:rsidP="007877DB">
            <w:pPr>
              <w:pStyle w:val="Listparagraf"/>
              <w:numPr>
                <w:ilvl w:val="0"/>
                <w:numId w:val="41"/>
              </w:numPr>
              <w:spacing w:before="60"/>
              <w:contextualSpacing w:val="0"/>
              <w:jc w:val="both"/>
              <w:rPr>
                <w:rFonts w:cstheme="minorHAnsi"/>
                <w:b/>
                <w:bCs/>
              </w:rPr>
            </w:pPr>
            <w:r w:rsidRPr="000F3D13">
              <w:rPr>
                <w:rFonts w:cstheme="minorHAnsi"/>
                <w:bCs/>
                <w:color w:val="002060"/>
              </w:rPr>
              <w:t>Persoane care au beneficiat de servicii de diagnosticare precoce (testare)</w:t>
            </w:r>
            <w:r w:rsidRPr="000F3D13">
              <w:rPr>
                <w:rFonts w:cstheme="minorHAnsi"/>
                <w:b/>
                <w:bCs/>
              </w:rPr>
              <w:t xml:space="preserve"> </w:t>
            </w:r>
          </w:p>
          <w:p w14:paraId="3F74D773" w14:textId="77777777" w:rsidR="007877DB" w:rsidRPr="000F3D13" w:rsidRDefault="007877DB" w:rsidP="007877DB">
            <w:pPr>
              <w:pStyle w:val="Listparagraf"/>
              <w:numPr>
                <w:ilvl w:val="0"/>
                <w:numId w:val="41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</w:rPr>
            </w:pPr>
            <w:r w:rsidRPr="000F3D13">
              <w:rPr>
                <w:rFonts w:cstheme="minorHAnsi"/>
                <w:bCs/>
                <w:color w:val="002060"/>
              </w:rPr>
              <w:t>Timpul de prelucrare, citire și interpretare al testului</w:t>
            </w:r>
          </w:p>
          <w:p w14:paraId="3653503A" w14:textId="007A3C89" w:rsidR="007877DB" w:rsidRPr="0065791E" w:rsidRDefault="007877DB" w:rsidP="007877DB">
            <w:pPr>
              <w:pStyle w:val="Listparagraf"/>
              <w:numPr>
                <w:ilvl w:val="0"/>
                <w:numId w:val="21"/>
              </w:numPr>
              <w:jc w:val="both"/>
              <w:rPr>
                <w:rFonts w:cstheme="minorHAnsi"/>
                <w:i/>
                <w:iCs/>
                <w:color w:val="002060"/>
              </w:rPr>
            </w:pPr>
            <w:r w:rsidRPr="000F3D13">
              <w:rPr>
                <w:rFonts w:cstheme="minorHAnsi"/>
                <w:bCs/>
                <w:color w:val="002060"/>
              </w:rPr>
              <w:t xml:space="preserve">Timpul de comunicare al rezultatului </w:t>
            </w:r>
          </w:p>
        </w:tc>
        <w:tc>
          <w:tcPr>
            <w:tcW w:w="597" w:type="pct"/>
          </w:tcPr>
          <w:p w14:paraId="42BFE5BC" w14:textId="77777777" w:rsidR="007877DB" w:rsidRPr="007877DB" w:rsidRDefault="007877DB" w:rsidP="007877DB">
            <w:pPr>
              <w:pStyle w:val="Listparagraf"/>
              <w:numPr>
                <w:ilvl w:val="0"/>
                <w:numId w:val="41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</w:rPr>
            </w:pPr>
            <w:r w:rsidRPr="000F3D13">
              <w:rPr>
                <w:rFonts w:cstheme="minorHAnsi"/>
                <w:bCs/>
                <w:color w:val="002060"/>
              </w:rPr>
              <w:t xml:space="preserve">% persoanelor </w:t>
            </w:r>
            <w:r w:rsidRPr="000F3D13">
              <w:rPr>
                <w:rFonts w:cstheme="minorHAnsi"/>
                <w:color w:val="002060"/>
              </w:rPr>
              <w:t>cu rezultate pozitive la testul de diagnosticare precoce/ testare care au beneficiat de servicii de follow-up/ diagnostic/ tratament</w:t>
            </w:r>
          </w:p>
          <w:p w14:paraId="3539900C" w14:textId="56DD45AC" w:rsidR="007877DB" w:rsidRPr="007877DB" w:rsidRDefault="007877DB" w:rsidP="007877DB">
            <w:pPr>
              <w:pStyle w:val="Listparagraf"/>
              <w:numPr>
                <w:ilvl w:val="0"/>
                <w:numId w:val="41"/>
              </w:numPr>
              <w:spacing w:before="60"/>
              <w:contextualSpacing w:val="0"/>
              <w:jc w:val="both"/>
              <w:rPr>
                <w:rFonts w:cstheme="minorHAnsi"/>
                <w:bCs/>
                <w:color w:val="002060"/>
              </w:rPr>
            </w:pPr>
            <w:r w:rsidRPr="007877DB">
              <w:rPr>
                <w:rFonts w:cstheme="minorHAnsi"/>
                <w:color w:val="002060"/>
              </w:rPr>
              <w:t xml:space="preserve">Timpul între rezultatul testului pozitiv și furnizarea  serviciului de follow-up/ diagnostic/ </w:t>
            </w:r>
            <w:r>
              <w:rPr>
                <w:rFonts w:cstheme="minorHAnsi"/>
                <w:color w:val="002060"/>
              </w:rPr>
              <w:t xml:space="preserve"> </w:t>
            </w:r>
            <w:r w:rsidRPr="007877DB">
              <w:rPr>
                <w:rFonts w:cstheme="minorHAnsi"/>
                <w:color w:val="002060"/>
              </w:rPr>
              <w:t>tratament</w:t>
            </w:r>
          </w:p>
        </w:tc>
        <w:tc>
          <w:tcPr>
            <w:tcW w:w="489" w:type="pct"/>
            <w:vMerge/>
            <w:vAlign w:val="center"/>
          </w:tcPr>
          <w:p w14:paraId="7C57E111" w14:textId="6E7DDF73" w:rsidR="007877DB" w:rsidRPr="0065791E" w:rsidRDefault="007877DB" w:rsidP="007877DB">
            <w:pPr>
              <w:jc w:val="both"/>
              <w:rPr>
                <w:rFonts w:cstheme="minorHAnsi"/>
                <w:color w:val="002060"/>
              </w:rPr>
            </w:pPr>
          </w:p>
        </w:tc>
      </w:tr>
      <w:tr w:rsidR="007877DB" w:rsidRPr="0065791E" w14:paraId="43653140" w14:textId="77777777" w:rsidTr="005A5440">
        <w:trPr>
          <w:trHeight w:val="1582"/>
        </w:trPr>
        <w:tc>
          <w:tcPr>
            <w:tcW w:w="390" w:type="pct"/>
            <w:vAlign w:val="center"/>
          </w:tcPr>
          <w:p w14:paraId="002A9BB1" w14:textId="38451024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lastRenderedPageBreak/>
              <w:t>Prioritatea 3</w:t>
            </w:r>
          </w:p>
          <w:p w14:paraId="6A918D41" w14:textId="7D871218" w:rsidR="007877DB" w:rsidRPr="0065791E" w:rsidRDefault="007877DB" w:rsidP="007877DB">
            <w:pPr>
              <w:pStyle w:val="Default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610" w:type="pct"/>
            <w:shd w:val="clear" w:color="auto" w:fill="auto"/>
          </w:tcPr>
          <w:p w14:paraId="69D63D12" w14:textId="77777777" w:rsidR="00BE440B" w:rsidRDefault="007877DB" w:rsidP="005A5440">
            <w:pPr>
              <w:pStyle w:val="Default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65791E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FEDR OP 4:  </w:t>
            </w:r>
          </w:p>
          <w:p w14:paraId="33A69D14" w14:textId="77777777" w:rsidR="00BE440B" w:rsidRPr="005A5440" w:rsidRDefault="00BE440B" w:rsidP="005A5440">
            <w:pPr>
              <w:pStyle w:val="Listparagraf"/>
              <w:widowControl w:val="0"/>
              <w:numPr>
                <w:ilvl w:val="0"/>
                <w:numId w:val="42"/>
              </w:numPr>
              <w:tabs>
                <w:tab w:val="left" w:pos="9781"/>
                <w:tab w:val="left" w:pos="9923"/>
              </w:tabs>
              <w:autoSpaceDE w:val="0"/>
              <w:autoSpaceDN w:val="0"/>
              <w:spacing w:before="60" w:after="60"/>
              <w:contextualSpacing w:val="0"/>
              <w:rPr>
                <w:rFonts w:cstheme="minorHAnsi"/>
                <w:iCs/>
                <w:color w:val="002060"/>
              </w:rPr>
            </w:pPr>
            <w:r w:rsidRPr="005A5440">
              <w:rPr>
                <w:rFonts w:cstheme="minorHAnsi"/>
                <w:iCs/>
                <w:color w:val="002060"/>
              </w:rPr>
              <w:t>Investiții în infrastructura publică a</w:t>
            </w:r>
            <w:r w:rsidRPr="005A5440">
              <w:rPr>
                <w:rFonts w:cstheme="minorHAnsi"/>
                <w:b/>
                <w:color w:val="002060"/>
              </w:rPr>
              <w:t xml:space="preserve"> </w:t>
            </w:r>
            <w:r w:rsidRPr="005A5440">
              <w:rPr>
                <w:rFonts w:cstheme="minorHAnsi"/>
                <w:b/>
                <w:bCs/>
                <w:iCs/>
                <w:color w:val="002060"/>
              </w:rPr>
              <w:t>unităților sanitare care furnizează servicii de reabilitare/ recuperare</w:t>
            </w:r>
            <w:r w:rsidRPr="005A5440">
              <w:rPr>
                <w:rFonts w:cstheme="minorHAnsi"/>
                <w:iCs/>
                <w:color w:val="002060"/>
              </w:rPr>
              <w:t>, inclusiv rețeaua balneară pe profile de patologie (inclusiv centre de recuperare medicală, recuperare neurologică și post-traumatică)</w:t>
            </w:r>
          </w:p>
          <w:p w14:paraId="35FC6AE0" w14:textId="77777777" w:rsidR="00BE440B" w:rsidRPr="005A5440" w:rsidRDefault="00BE440B" w:rsidP="005A5440">
            <w:pPr>
              <w:pStyle w:val="Defaul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6CE4E162" w14:textId="415FE10B" w:rsidR="007877DB" w:rsidRPr="0065791E" w:rsidRDefault="00BE440B" w:rsidP="005A5440">
            <w:pPr>
              <w:pStyle w:val="Defaul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5A5440">
              <w:rPr>
                <w:rFonts w:asciiTheme="minorHAnsi" w:hAnsiTheme="minorHAnsi" w:cstheme="minorHAnsi"/>
                <w:i/>
                <w:color w:val="002060"/>
                <w:lang w:val="ro-RO"/>
              </w:rPr>
              <w:t xml:space="preserve">Exemple de acțiuni eligibile: </w:t>
            </w:r>
            <w:bookmarkStart w:id="2" w:name="_Hlk44406792"/>
            <w:r w:rsidRPr="005A5440">
              <w:rPr>
                <w:rFonts w:asciiTheme="minorHAnsi" w:hAnsiTheme="minorHAnsi" w:cstheme="minorHAnsi"/>
                <w:i/>
                <w:color w:val="002060"/>
                <w:lang w:val="ro-RO"/>
              </w:rPr>
              <w:t>Dotare/ extindere/ modernizare/ reabilitare</w:t>
            </w:r>
            <w:bookmarkEnd w:id="2"/>
          </w:p>
        </w:tc>
        <w:tc>
          <w:tcPr>
            <w:tcW w:w="1193" w:type="pct"/>
          </w:tcPr>
          <w:p w14:paraId="5C86C4B5" w14:textId="6046F71D" w:rsidR="007877DB" w:rsidRPr="0065791E" w:rsidRDefault="00806115" w:rsidP="005A5440">
            <w:pPr>
              <w:pStyle w:val="Defaul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Unități sanitare</w:t>
            </w:r>
          </w:p>
          <w:p w14:paraId="23A76696" w14:textId="77777777" w:rsidR="007877DB" w:rsidRPr="0065791E" w:rsidRDefault="007877DB" w:rsidP="005A5440">
            <w:pPr>
              <w:pStyle w:val="Default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721" w:type="pct"/>
          </w:tcPr>
          <w:p w14:paraId="6A81555C" w14:textId="50F3FA2D" w:rsidR="007877DB" w:rsidRDefault="007877DB" w:rsidP="005A5440">
            <w:pPr>
              <w:pStyle w:val="Listparagraf"/>
              <w:numPr>
                <w:ilvl w:val="0"/>
                <w:numId w:val="39"/>
              </w:numPr>
              <w:ind w:left="318" w:hanging="318"/>
              <w:rPr>
                <w:rFonts w:cstheme="minorHAnsi"/>
                <w:color w:val="002060"/>
              </w:rPr>
            </w:pPr>
            <w:r w:rsidRPr="0065791E">
              <w:rPr>
                <w:rFonts w:cstheme="minorHAnsi"/>
                <w:color w:val="002060"/>
              </w:rPr>
              <w:t>Capacitatea infrastructurii de asistență medicală sprijinită (persoane/ an)</w:t>
            </w:r>
            <w:r w:rsidRPr="0065791E">
              <w:rPr>
                <w:rStyle w:val="Referinnotdesubsol"/>
                <w:rFonts w:cstheme="minorHAnsi"/>
                <w:color w:val="002060"/>
              </w:rPr>
              <w:footnoteReference w:id="3"/>
            </w:r>
          </w:p>
          <w:p w14:paraId="3AD178A6" w14:textId="25747EED" w:rsidR="00806115" w:rsidRPr="0065791E" w:rsidRDefault="00806115" w:rsidP="005A5440">
            <w:pPr>
              <w:pStyle w:val="Listparagraf"/>
              <w:numPr>
                <w:ilvl w:val="0"/>
                <w:numId w:val="39"/>
              </w:numPr>
              <w:ind w:left="318" w:hanging="318"/>
              <w:rPr>
                <w:rFonts w:cstheme="minorHAnsi"/>
                <w:color w:val="002060"/>
              </w:rPr>
            </w:pPr>
            <w:r>
              <w:rPr>
                <w:rFonts w:cstheme="minorHAnsi"/>
                <w:color w:val="002060"/>
              </w:rPr>
              <w:t>Echipamente medicale achiziționate</w:t>
            </w:r>
          </w:p>
          <w:p w14:paraId="4EF52DE4" w14:textId="77777777" w:rsidR="007877DB" w:rsidRPr="0065791E" w:rsidRDefault="007877DB" w:rsidP="005A5440">
            <w:pPr>
              <w:ind w:left="226" w:hanging="180"/>
              <w:rPr>
                <w:rFonts w:cstheme="minorHAnsi"/>
                <w:color w:val="002060"/>
              </w:rPr>
            </w:pPr>
          </w:p>
          <w:p w14:paraId="6817573D" w14:textId="77777777" w:rsidR="007877DB" w:rsidRPr="0065791E" w:rsidRDefault="007877DB" w:rsidP="005A5440">
            <w:pPr>
              <w:spacing w:before="60" w:after="60"/>
              <w:rPr>
                <w:rFonts w:cstheme="minorHAnsi"/>
                <w:color w:val="002060"/>
              </w:rPr>
            </w:pPr>
          </w:p>
        </w:tc>
        <w:tc>
          <w:tcPr>
            <w:tcW w:w="597" w:type="pct"/>
          </w:tcPr>
          <w:p w14:paraId="627ABBB0" w14:textId="0B9D2300" w:rsidR="007877DB" w:rsidRPr="0065791E" w:rsidRDefault="007877DB" w:rsidP="005A5440">
            <w:pPr>
              <w:rPr>
                <w:rFonts w:cstheme="minorHAnsi"/>
                <w:color w:val="002060"/>
                <w:highlight w:val="cyan"/>
              </w:rPr>
            </w:pPr>
            <w:r w:rsidRPr="0065791E">
              <w:rPr>
                <w:rFonts w:cstheme="minorHAnsi"/>
                <w:color w:val="002060"/>
              </w:rPr>
              <w:t>Utilizatori anuali ai unității de asistență medicală nouă/ modernizată</w:t>
            </w:r>
            <w:r w:rsidRPr="0065791E">
              <w:rPr>
                <w:rStyle w:val="Referinnotdesubsol"/>
                <w:rFonts w:cstheme="minorHAnsi"/>
                <w:color w:val="002060"/>
              </w:rPr>
              <w:footnoteReference w:id="4"/>
            </w:r>
            <w:r w:rsidRPr="0065791E">
              <w:rPr>
                <w:rFonts w:cstheme="minorHAnsi"/>
                <w:color w:val="002060"/>
              </w:rPr>
              <w:t xml:space="preserve"> </w:t>
            </w:r>
          </w:p>
        </w:tc>
        <w:tc>
          <w:tcPr>
            <w:tcW w:w="489" w:type="pct"/>
            <w:vAlign w:val="center"/>
          </w:tcPr>
          <w:p w14:paraId="197F4ACC" w14:textId="6CE9BFFE" w:rsidR="007877DB" w:rsidRPr="0065791E" w:rsidRDefault="002F7689" w:rsidP="007877DB">
            <w:pPr>
              <w:jc w:val="both"/>
              <w:rPr>
                <w:rFonts w:cstheme="minorHAnsi"/>
                <w:color w:val="002060"/>
                <w:highlight w:val="cyan"/>
              </w:rPr>
            </w:pPr>
            <w:r w:rsidRPr="002F7689">
              <w:rPr>
                <w:rFonts w:cstheme="minorHAnsi"/>
                <w:color w:val="002060"/>
              </w:rPr>
              <w:t>Urmează a fi stabilite</w:t>
            </w:r>
          </w:p>
        </w:tc>
      </w:tr>
    </w:tbl>
    <w:p w14:paraId="78755394" w14:textId="061D5475" w:rsidR="00F06DD8" w:rsidRPr="0065791E" w:rsidRDefault="00F06DD8" w:rsidP="0065791E">
      <w:pPr>
        <w:spacing w:after="0" w:line="240" w:lineRule="auto"/>
        <w:jc w:val="both"/>
        <w:rPr>
          <w:rFonts w:cstheme="minorHAnsi"/>
          <w:color w:val="002060"/>
        </w:rPr>
      </w:pPr>
    </w:p>
    <w:p w14:paraId="73A3F98B" w14:textId="77777777" w:rsidR="00547705" w:rsidRPr="007877DB" w:rsidRDefault="00547705" w:rsidP="007877DB">
      <w:pPr>
        <w:spacing w:after="0" w:line="240" w:lineRule="auto"/>
        <w:jc w:val="both"/>
        <w:rPr>
          <w:rFonts w:cstheme="minorHAnsi"/>
          <w:color w:val="002060"/>
        </w:rPr>
      </w:pPr>
    </w:p>
    <w:p w14:paraId="111AAFAF" w14:textId="77777777" w:rsidR="00547705" w:rsidRPr="0065791E" w:rsidRDefault="00547705" w:rsidP="0065791E">
      <w:pPr>
        <w:spacing w:after="0" w:line="240" w:lineRule="auto"/>
        <w:jc w:val="both"/>
        <w:rPr>
          <w:rFonts w:cstheme="minorHAnsi"/>
          <w:color w:val="002060"/>
        </w:rPr>
      </w:pPr>
    </w:p>
    <w:sectPr w:rsidR="00547705" w:rsidRPr="0065791E" w:rsidSect="00211AAA">
      <w:foot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185AF6" w14:textId="77777777" w:rsidR="002C3535" w:rsidRDefault="002C3535" w:rsidP="00DA4E31">
      <w:pPr>
        <w:spacing w:after="0" w:line="240" w:lineRule="auto"/>
      </w:pPr>
      <w:r>
        <w:separator/>
      </w:r>
    </w:p>
  </w:endnote>
  <w:endnote w:type="continuationSeparator" w:id="0">
    <w:p w14:paraId="3AAD30A6" w14:textId="77777777" w:rsidR="002C3535" w:rsidRDefault="002C3535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7BD2922D" w:rsidR="00DA4E31" w:rsidRDefault="00DA4E31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5CB">
          <w:rPr>
            <w:noProof/>
          </w:rPr>
          <w:t>1</w:t>
        </w:r>
        <w:r>
          <w:fldChar w:fldCharType="end"/>
        </w:r>
      </w:p>
    </w:sdtContent>
  </w:sdt>
  <w:p w14:paraId="6F25852D" w14:textId="77777777" w:rsidR="00DA4E31" w:rsidRDefault="00DA4E3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C91F0" w14:textId="77777777" w:rsidR="002C3535" w:rsidRDefault="002C3535" w:rsidP="00DA4E31">
      <w:pPr>
        <w:spacing w:after="0" w:line="240" w:lineRule="auto"/>
      </w:pPr>
      <w:r>
        <w:separator/>
      </w:r>
    </w:p>
  </w:footnote>
  <w:footnote w:type="continuationSeparator" w:id="0">
    <w:p w14:paraId="0B984B34" w14:textId="77777777" w:rsidR="002C3535" w:rsidRDefault="002C3535" w:rsidP="00DA4E31">
      <w:pPr>
        <w:spacing w:after="0" w:line="240" w:lineRule="auto"/>
      </w:pPr>
      <w:r>
        <w:continuationSeparator/>
      </w:r>
    </w:p>
  </w:footnote>
  <w:footnote w:id="1">
    <w:p w14:paraId="30B7D81E" w14:textId="6536B8AD" w:rsidR="00780A9D" w:rsidRPr="00780A9D" w:rsidRDefault="00780A9D">
      <w:pPr>
        <w:pStyle w:val="Textnotdesubsol"/>
        <w:rPr>
          <w:sz w:val="18"/>
          <w:szCs w:val="18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rFonts w:cstheme="minorHAnsi"/>
          <w:color w:val="002060"/>
          <w:sz w:val="18"/>
          <w:szCs w:val="18"/>
        </w:rPr>
        <w:t>Numărul maxim anual de persoane care pot fi deservite de către unitatea de asistență medicală nouă/modernizată cel puțin o dată pe parcursul unui an</w:t>
      </w:r>
    </w:p>
  </w:footnote>
  <w:footnote w:id="2">
    <w:p w14:paraId="65B7B9C9" w14:textId="65584AF3" w:rsidR="009F5B19" w:rsidRPr="00780A9D" w:rsidRDefault="009F5B19">
      <w:pPr>
        <w:pStyle w:val="Textnotdesubsol"/>
        <w:rPr>
          <w:sz w:val="22"/>
          <w:szCs w:val="22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color w:val="002060"/>
          <w:sz w:val="18"/>
          <w:szCs w:val="18"/>
        </w:rPr>
        <w:t xml:space="preserve">Numărul de pacienți înregistrați, </w:t>
      </w:r>
      <w:r w:rsidR="00780A9D" w:rsidRPr="00780A9D">
        <w:rPr>
          <w:color w:val="002060"/>
          <w:sz w:val="18"/>
          <w:szCs w:val="18"/>
        </w:rPr>
        <w:t>deserviți</w:t>
      </w:r>
      <w:r w:rsidRPr="00780A9D">
        <w:rPr>
          <w:color w:val="002060"/>
          <w:sz w:val="18"/>
          <w:szCs w:val="18"/>
        </w:rPr>
        <w:t xml:space="preserve"> cel </w:t>
      </w:r>
      <w:r w:rsidR="00780A9D" w:rsidRPr="00780A9D">
        <w:rPr>
          <w:color w:val="002060"/>
          <w:sz w:val="18"/>
          <w:szCs w:val="18"/>
        </w:rPr>
        <w:t>puțin</w:t>
      </w:r>
      <w:r w:rsidRPr="00780A9D">
        <w:rPr>
          <w:color w:val="002060"/>
          <w:sz w:val="18"/>
          <w:szCs w:val="18"/>
        </w:rPr>
        <w:t xml:space="preserve"> o dat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asistent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medical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nou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>/modernizat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 w:rsidR="00780A9D"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imediat </w:t>
      </w:r>
      <w:r w:rsidR="00780A9D" w:rsidRPr="00780A9D">
        <w:rPr>
          <w:color w:val="002060"/>
          <w:sz w:val="18"/>
          <w:szCs w:val="18"/>
        </w:rPr>
        <w:t>după</w:t>
      </w:r>
      <w:r w:rsidRPr="00780A9D">
        <w:rPr>
          <w:color w:val="002060"/>
          <w:sz w:val="18"/>
          <w:szCs w:val="18"/>
        </w:rPr>
        <w:t xml:space="preserve"> finalizarea </w:t>
      </w:r>
      <w:r w:rsidR="00780A9D" w:rsidRPr="00780A9D">
        <w:rPr>
          <w:color w:val="002060"/>
          <w:sz w:val="18"/>
          <w:szCs w:val="18"/>
        </w:rPr>
        <w:t>intervenției</w:t>
      </w:r>
      <w:r w:rsidRPr="00780A9D">
        <w:rPr>
          <w:color w:val="002060"/>
          <w:sz w:val="18"/>
          <w:szCs w:val="18"/>
        </w:rPr>
        <w:t xml:space="preserve">. Indicatorul de </w:t>
      </w:r>
      <w:r w:rsidR="00780A9D" w:rsidRPr="00780A9D">
        <w:rPr>
          <w:color w:val="002060"/>
          <w:sz w:val="18"/>
          <w:szCs w:val="18"/>
        </w:rPr>
        <w:t>referinț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se refer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la </w:t>
      </w:r>
      <w:r w:rsidR="00780A9D" w:rsidRPr="00780A9D">
        <w:rPr>
          <w:color w:val="002060"/>
          <w:sz w:val="18"/>
          <w:szCs w:val="18"/>
        </w:rPr>
        <w:t>pacienții</w:t>
      </w:r>
      <w:r w:rsidRPr="00780A9D">
        <w:rPr>
          <w:color w:val="002060"/>
          <w:sz w:val="18"/>
          <w:szCs w:val="18"/>
        </w:rPr>
        <w:t xml:space="preserve"> </w:t>
      </w:r>
      <w:r w:rsidR="00780A9D" w:rsidRPr="00780A9D">
        <w:rPr>
          <w:color w:val="002060"/>
          <w:sz w:val="18"/>
          <w:szCs w:val="18"/>
        </w:rPr>
        <w:t>înregistrați</w:t>
      </w:r>
      <w:r w:rsidRPr="00780A9D">
        <w:rPr>
          <w:color w:val="002060"/>
          <w:sz w:val="18"/>
          <w:szCs w:val="18"/>
        </w:rPr>
        <w:t xml:space="preserve"> </w:t>
      </w:r>
      <w:r w:rsidR="00780A9D" w:rsidRPr="00780A9D">
        <w:rPr>
          <w:color w:val="002060"/>
          <w:sz w:val="18"/>
          <w:szCs w:val="18"/>
        </w:rPr>
        <w:t>deserviți</w:t>
      </w:r>
      <w:r w:rsidRPr="00780A9D">
        <w:rPr>
          <w:color w:val="002060"/>
          <w:sz w:val="18"/>
          <w:szCs w:val="18"/>
        </w:rPr>
        <w:t xml:space="preserve"> cel </w:t>
      </w:r>
      <w:r w:rsidR="00780A9D" w:rsidRPr="00780A9D">
        <w:rPr>
          <w:color w:val="002060"/>
          <w:sz w:val="18"/>
          <w:szCs w:val="18"/>
        </w:rPr>
        <w:t>puțin</w:t>
      </w:r>
      <w:r w:rsidRPr="00780A9D">
        <w:rPr>
          <w:color w:val="002060"/>
          <w:sz w:val="18"/>
          <w:szCs w:val="18"/>
        </w:rPr>
        <w:t xml:space="preserve"> o dat</w:t>
      </w:r>
      <w:r w:rsidR="00780A9D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</w:t>
      </w:r>
      <w:r w:rsidR="0048537C">
        <w:rPr>
          <w:color w:val="002060"/>
          <w:sz w:val="18"/>
          <w:szCs w:val="18"/>
        </w:rPr>
        <w:t>ță</w:t>
      </w:r>
      <w:r w:rsidRPr="00780A9D">
        <w:rPr>
          <w:color w:val="002060"/>
          <w:sz w:val="18"/>
          <w:szCs w:val="18"/>
        </w:rPr>
        <w:t xml:space="preserve"> medical</w:t>
      </w:r>
      <w:r w:rsidR="0048537C"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 w:rsidR="0048537C"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</w:t>
      </w:r>
      <w:r w:rsidR="0048537C" w:rsidRPr="00780A9D">
        <w:rPr>
          <w:color w:val="002060"/>
          <w:sz w:val="18"/>
          <w:szCs w:val="18"/>
        </w:rPr>
        <w:t>înainte</w:t>
      </w:r>
      <w:r w:rsidRPr="00780A9D">
        <w:rPr>
          <w:color w:val="002060"/>
          <w:sz w:val="18"/>
          <w:szCs w:val="18"/>
        </w:rPr>
        <w:t xml:space="preserve"> de </w:t>
      </w:r>
      <w:r w:rsidR="0048537C" w:rsidRPr="00780A9D">
        <w:rPr>
          <w:color w:val="002060"/>
          <w:sz w:val="18"/>
          <w:szCs w:val="18"/>
        </w:rPr>
        <w:t>începerea</w:t>
      </w:r>
      <w:r w:rsidRPr="00780A9D">
        <w:rPr>
          <w:color w:val="002060"/>
          <w:sz w:val="18"/>
          <w:szCs w:val="18"/>
        </w:rPr>
        <w:t xml:space="preserve"> </w:t>
      </w:r>
      <w:r w:rsidR="0048537C" w:rsidRPr="00780A9D">
        <w:rPr>
          <w:color w:val="002060"/>
          <w:sz w:val="18"/>
          <w:szCs w:val="18"/>
        </w:rPr>
        <w:t>intervenției</w:t>
      </w:r>
      <w:r w:rsidRPr="00780A9D">
        <w:rPr>
          <w:color w:val="002060"/>
          <w:sz w:val="18"/>
          <w:szCs w:val="18"/>
        </w:rPr>
        <w:t xml:space="preserve"> </w:t>
      </w:r>
      <w:r w:rsidR="0048537C">
        <w:rPr>
          <w:color w:val="002060"/>
          <w:sz w:val="18"/>
          <w:szCs w:val="18"/>
        </w:rPr>
        <w:t>ș</w:t>
      </w:r>
      <w:r w:rsidRPr="00780A9D">
        <w:rPr>
          <w:color w:val="002060"/>
          <w:sz w:val="18"/>
          <w:szCs w:val="18"/>
        </w:rPr>
        <w:t xml:space="preserve">i poate fi 0 pentru noi </w:t>
      </w:r>
      <w:r w:rsidR="0048537C" w:rsidRPr="00780A9D">
        <w:rPr>
          <w:color w:val="002060"/>
          <w:sz w:val="18"/>
          <w:szCs w:val="18"/>
        </w:rPr>
        <w:t>facilitați</w:t>
      </w:r>
    </w:p>
  </w:footnote>
  <w:footnote w:id="3">
    <w:p w14:paraId="2EEE6B75" w14:textId="77777777" w:rsidR="007877DB" w:rsidRPr="00780A9D" w:rsidRDefault="007877DB">
      <w:pPr>
        <w:pStyle w:val="Textnotdesubsol"/>
        <w:rPr>
          <w:sz w:val="18"/>
          <w:szCs w:val="18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rFonts w:cstheme="minorHAnsi"/>
          <w:color w:val="002060"/>
          <w:sz w:val="18"/>
          <w:szCs w:val="18"/>
        </w:rPr>
        <w:t>Numărul maxim anual de persoane care pot fi deservite de către unitatea de asistență medicală nouă/modernizată cel puțin o dată pe parcursul unui an</w:t>
      </w:r>
    </w:p>
  </w:footnote>
  <w:footnote w:id="4">
    <w:p w14:paraId="26547305" w14:textId="77777777" w:rsidR="007877DB" w:rsidRPr="00780A9D" w:rsidRDefault="007877DB">
      <w:pPr>
        <w:pStyle w:val="Textnotdesubsol"/>
        <w:rPr>
          <w:sz w:val="22"/>
          <w:szCs w:val="22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color w:val="002060"/>
          <w:sz w:val="18"/>
          <w:szCs w:val="18"/>
        </w:rPr>
        <w:t>Numărul de pacienți înregistrați,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nou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>/modernizat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>n cursul anului imediat după finalizarea intervenției. Indicatorul de referinț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se refer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la pacienții înregistrați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</w:t>
      </w:r>
      <w:r>
        <w:rPr>
          <w:color w:val="002060"/>
          <w:sz w:val="18"/>
          <w:szCs w:val="18"/>
        </w:rPr>
        <w:t>ță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înainte de începerea intervenției </w:t>
      </w:r>
      <w:r>
        <w:rPr>
          <w:color w:val="002060"/>
          <w:sz w:val="18"/>
          <w:szCs w:val="18"/>
        </w:rPr>
        <w:t>ș</w:t>
      </w:r>
      <w:r w:rsidRPr="00780A9D">
        <w:rPr>
          <w:color w:val="002060"/>
          <w:sz w:val="18"/>
          <w:szCs w:val="18"/>
        </w:rPr>
        <w:t>i poate fi 0 pentru noi facilitați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05A1"/>
    <w:multiLevelType w:val="hybridMultilevel"/>
    <w:tmpl w:val="E688B0E4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13BB9"/>
    <w:multiLevelType w:val="hybridMultilevel"/>
    <w:tmpl w:val="B3B6F8B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9C4B1E"/>
    <w:multiLevelType w:val="hybridMultilevel"/>
    <w:tmpl w:val="85CC866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25C2F"/>
    <w:multiLevelType w:val="hybridMultilevel"/>
    <w:tmpl w:val="870434F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067AD"/>
    <w:multiLevelType w:val="hybridMultilevel"/>
    <w:tmpl w:val="11D2E488"/>
    <w:lvl w:ilvl="0" w:tplc="7B04BF8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AA1B18"/>
    <w:multiLevelType w:val="hybridMultilevel"/>
    <w:tmpl w:val="3B8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7683B"/>
    <w:multiLevelType w:val="hybridMultilevel"/>
    <w:tmpl w:val="F9A0F40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220E94"/>
    <w:multiLevelType w:val="hybridMultilevel"/>
    <w:tmpl w:val="7E306FEC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972FD"/>
    <w:multiLevelType w:val="hybridMultilevel"/>
    <w:tmpl w:val="622C8AD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9D0406"/>
    <w:multiLevelType w:val="hybridMultilevel"/>
    <w:tmpl w:val="035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02ADE"/>
    <w:multiLevelType w:val="hybridMultilevel"/>
    <w:tmpl w:val="7C42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A53BBD"/>
    <w:multiLevelType w:val="hybridMultilevel"/>
    <w:tmpl w:val="4642A1C4"/>
    <w:lvl w:ilvl="0" w:tplc="18BC5E3C">
      <w:start w:val="1"/>
      <w:numFmt w:val="decimal"/>
      <w:lvlText w:val="%1."/>
      <w:lvlJc w:val="left"/>
      <w:pPr>
        <w:ind w:left="507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00206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227" w:hanging="360"/>
      </w:pPr>
    </w:lvl>
    <w:lvl w:ilvl="2" w:tplc="0418001B" w:tentative="1">
      <w:start w:val="1"/>
      <w:numFmt w:val="lowerRoman"/>
      <w:lvlText w:val="%3."/>
      <w:lvlJc w:val="right"/>
      <w:pPr>
        <w:ind w:left="1947" w:hanging="180"/>
      </w:pPr>
    </w:lvl>
    <w:lvl w:ilvl="3" w:tplc="0418000F" w:tentative="1">
      <w:start w:val="1"/>
      <w:numFmt w:val="decimal"/>
      <w:lvlText w:val="%4."/>
      <w:lvlJc w:val="left"/>
      <w:pPr>
        <w:ind w:left="2667" w:hanging="360"/>
      </w:pPr>
    </w:lvl>
    <w:lvl w:ilvl="4" w:tplc="04180019" w:tentative="1">
      <w:start w:val="1"/>
      <w:numFmt w:val="lowerLetter"/>
      <w:lvlText w:val="%5."/>
      <w:lvlJc w:val="left"/>
      <w:pPr>
        <w:ind w:left="3387" w:hanging="360"/>
      </w:pPr>
    </w:lvl>
    <w:lvl w:ilvl="5" w:tplc="0418001B" w:tentative="1">
      <w:start w:val="1"/>
      <w:numFmt w:val="lowerRoman"/>
      <w:lvlText w:val="%6."/>
      <w:lvlJc w:val="right"/>
      <w:pPr>
        <w:ind w:left="4107" w:hanging="180"/>
      </w:pPr>
    </w:lvl>
    <w:lvl w:ilvl="6" w:tplc="0418000F" w:tentative="1">
      <w:start w:val="1"/>
      <w:numFmt w:val="decimal"/>
      <w:lvlText w:val="%7."/>
      <w:lvlJc w:val="left"/>
      <w:pPr>
        <w:ind w:left="4827" w:hanging="360"/>
      </w:pPr>
    </w:lvl>
    <w:lvl w:ilvl="7" w:tplc="04180019" w:tentative="1">
      <w:start w:val="1"/>
      <w:numFmt w:val="lowerLetter"/>
      <w:lvlText w:val="%8."/>
      <w:lvlJc w:val="left"/>
      <w:pPr>
        <w:ind w:left="5547" w:hanging="360"/>
      </w:pPr>
    </w:lvl>
    <w:lvl w:ilvl="8" w:tplc="0418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2" w15:restartNumberingAfterBreak="0">
    <w:nsid w:val="2E3615E8"/>
    <w:multiLevelType w:val="hybridMultilevel"/>
    <w:tmpl w:val="13B44ADE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F137C4"/>
    <w:multiLevelType w:val="hybridMultilevel"/>
    <w:tmpl w:val="54C0A8D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20E2E"/>
    <w:multiLevelType w:val="hybridMultilevel"/>
    <w:tmpl w:val="FEB02A2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925A76"/>
    <w:multiLevelType w:val="hybridMultilevel"/>
    <w:tmpl w:val="5DC6060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B2514"/>
    <w:multiLevelType w:val="hybridMultilevel"/>
    <w:tmpl w:val="55669454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86368D6"/>
    <w:multiLevelType w:val="hybridMultilevel"/>
    <w:tmpl w:val="544C7DF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A5E68EA"/>
    <w:multiLevelType w:val="hybridMultilevel"/>
    <w:tmpl w:val="4642A1C4"/>
    <w:lvl w:ilvl="0" w:tplc="18BC5E3C">
      <w:start w:val="1"/>
      <w:numFmt w:val="decimal"/>
      <w:lvlText w:val="%1."/>
      <w:lvlJc w:val="left"/>
      <w:pPr>
        <w:ind w:left="507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00206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227" w:hanging="360"/>
      </w:pPr>
    </w:lvl>
    <w:lvl w:ilvl="2" w:tplc="0418001B" w:tentative="1">
      <w:start w:val="1"/>
      <w:numFmt w:val="lowerRoman"/>
      <w:lvlText w:val="%3."/>
      <w:lvlJc w:val="right"/>
      <w:pPr>
        <w:ind w:left="1947" w:hanging="180"/>
      </w:pPr>
    </w:lvl>
    <w:lvl w:ilvl="3" w:tplc="0418000F" w:tentative="1">
      <w:start w:val="1"/>
      <w:numFmt w:val="decimal"/>
      <w:lvlText w:val="%4."/>
      <w:lvlJc w:val="left"/>
      <w:pPr>
        <w:ind w:left="2667" w:hanging="360"/>
      </w:pPr>
    </w:lvl>
    <w:lvl w:ilvl="4" w:tplc="04180019" w:tentative="1">
      <w:start w:val="1"/>
      <w:numFmt w:val="lowerLetter"/>
      <w:lvlText w:val="%5."/>
      <w:lvlJc w:val="left"/>
      <w:pPr>
        <w:ind w:left="3387" w:hanging="360"/>
      </w:pPr>
    </w:lvl>
    <w:lvl w:ilvl="5" w:tplc="0418001B" w:tentative="1">
      <w:start w:val="1"/>
      <w:numFmt w:val="lowerRoman"/>
      <w:lvlText w:val="%6."/>
      <w:lvlJc w:val="right"/>
      <w:pPr>
        <w:ind w:left="4107" w:hanging="180"/>
      </w:pPr>
    </w:lvl>
    <w:lvl w:ilvl="6" w:tplc="0418000F" w:tentative="1">
      <w:start w:val="1"/>
      <w:numFmt w:val="decimal"/>
      <w:lvlText w:val="%7."/>
      <w:lvlJc w:val="left"/>
      <w:pPr>
        <w:ind w:left="4827" w:hanging="360"/>
      </w:pPr>
    </w:lvl>
    <w:lvl w:ilvl="7" w:tplc="04180019" w:tentative="1">
      <w:start w:val="1"/>
      <w:numFmt w:val="lowerLetter"/>
      <w:lvlText w:val="%8."/>
      <w:lvlJc w:val="left"/>
      <w:pPr>
        <w:ind w:left="5547" w:hanging="360"/>
      </w:pPr>
    </w:lvl>
    <w:lvl w:ilvl="8" w:tplc="0418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9" w15:restartNumberingAfterBreak="0">
    <w:nsid w:val="3B614228"/>
    <w:multiLevelType w:val="hybridMultilevel"/>
    <w:tmpl w:val="78F4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14344"/>
    <w:multiLevelType w:val="hybridMultilevel"/>
    <w:tmpl w:val="9B2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331D"/>
    <w:multiLevelType w:val="hybridMultilevel"/>
    <w:tmpl w:val="8AA42522"/>
    <w:lvl w:ilvl="0" w:tplc="9D0C5E8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0782F"/>
    <w:multiLevelType w:val="hybridMultilevel"/>
    <w:tmpl w:val="4E0CB5A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297E61"/>
    <w:multiLevelType w:val="hybridMultilevel"/>
    <w:tmpl w:val="B726B14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DA5792"/>
    <w:multiLevelType w:val="hybridMultilevel"/>
    <w:tmpl w:val="71C8A96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14D86"/>
    <w:multiLevelType w:val="hybridMultilevel"/>
    <w:tmpl w:val="F55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17FD2"/>
    <w:multiLevelType w:val="hybridMultilevel"/>
    <w:tmpl w:val="C87C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A6CD5"/>
    <w:multiLevelType w:val="hybridMultilevel"/>
    <w:tmpl w:val="CAF8462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32D44"/>
    <w:multiLevelType w:val="hybridMultilevel"/>
    <w:tmpl w:val="E512879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620FD"/>
    <w:multiLevelType w:val="hybridMultilevel"/>
    <w:tmpl w:val="DF704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544B1F"/>
    <w:multiLevelType w:val="hybridMultilevel"/>
    <w:tmpl w:val="392215D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5C5758"/>
    <w:multiLevelType w:val="hybridMultilevel"/>
    <w:tmpl w:val="1C66D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AB3A14"/>
    <w:multiLevelType w:val="hybridMultilevel"/>
    <w:tmpl w:val="0890E9B0"/>
    <w:lvl w:ilvl="0" w:tplc="CFAA24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5D53F8"/>
    <w:multiLevelType w:val="hybridMultilevel"/>
    <w:tmpl w:val="EE3E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D824A8"/>
    <w:multiLevelType w:val="hybridMultilevel"/>
    <w:tmpl w:val="0C2AEF1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8BD560C"/>
    <w:multiLevelType w:val="hybridMultilevel"/>
    <w:tmpl w:val="BB460F6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DE1A81"/>
    <w:multiLevelType w:val="hybridMultilevel"/>
    <w:tmpl w:val="D990F3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B06142"/>
    <w:multiLevelType w:val="hybridMultilevel"/>
    <w:tmpl w:val="BBE01E2A"/>
    <w:lvl w:ilvl="0" w:tplc="104CB9F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522BB"/>
    <w:multiLevelType w:val="hybridMultilevel"/>
    <w:tmpl w:val="F6D61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94A6962"/>
    <w:multiLevelType w:val="hybridMultilevel"/>
    <w:tmpl w:val="54F4927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9DD6A6C"/>
    <w:multiLevelType w:val="hybridMultilevel"/>
    <w:tmpl w:val="E90064B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F3855"/>
    <w:multiLevelType w:val="hybridMultilevel"/>
    <w:tmpl w:val="B42C98A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4"/>
  </w:num>
  <w:num w:numId="4">
    <w:abstractNumId w:val="25"/>
  </w:num>
  <w:num w:numId="5">
    <w:abstractNumId w:val="27"/>
  </w:num>
  <w:num w:numId="6">
    <w:abstractNumId w:val="24"/>
  </w:num>
  <w:num w:numId="7">
    <w:abstractNumId w:val="5"/>
  </w:num>
  <w:num w:numId="8">
    <w:abstractNumId w:val="17"/>
  </w:num>
  <w:num w:numId="9">
    <w:abstractNumId w:val="26"/>
  </w:num>
  <w:num w:numId="10">
    <w:abstractNumId w:val="10"/>
  </w:num>
  <w:num w:numId="11">
    <w:abstractNumId w:val="38"/>
  </w:num>
  <w:num w:numId="12">
    <w:abstractNumId w:val="33"/>
  </w:num>
  <w:num w:numId="13">
    <w:abstractNumId w:val="20"/>
  </w:num>
  <w:num w:numId="14">
    <w:abstractNumId w:val="28"/>
  </w:num>
  <w:num w:numId="15">
    <w:abstractNumId w:val="19"/>
  </w:num>
  <w:num w:numId="16">
    <w:abstractNumId w:val="15"/>
  </w:num>
  <w:num w:numId="17">
    <w:abstractNumId w:val="1"/>
  </w:num>
  <w:num w:numId="18">
    <w:abstractNumId w:val="39"/>
  </w:num>
  <w:num w:numId="19">
    <w:abstractNumId w:val="21"/>
  </w:num>
  <w:num w:numId="20">
    <w:abstractNumId w:val="31"/>
  </w:num>
  <w:num w:numId="21">
    <w:abstractNumId w:val="3"/>
  </w:num>
  <w:num w:numId="22">
    <w:abstractNumId w:val="23"/>
  </w:num>
  <w:num w:numId="23">
    <w:abstractNumId w:val="41"/>
  </w:num>
  <w:num w:numId="24">
    <w:abstractNumId w:val="13"/>
  </w:num>
  <w:num w:numId="25">
    <w:abstractNumId w:val="35"/>
  </w:num>
  <w:num w:numId="26">
    <w:abstractNumId w:val="40"/>
  </w:num>
  <w:num w:numId="27">
    <w:abstractNumId w:val="6"/>
  </w:num>
  <w:num w:numId="28">
    <w:abstractNumId w:val="8"/>
  </w:num>
  <w:num w:numId="29">
    <w:abstractNumId w:val="2"/>
  </w:num>
  <w:num w:numId="30">
    <w:abstractNumId w:val="4"/>
  </w:num>
  <w:num w:numId="31">
    <w:abstractNumId w:val="7"/>
  </w:num>
  <w:num w:numId="32">
    <w:abstractNumId w:val="29"/>
  </w:num>
  <w:num w:numId="33">
    <w:abstractNumId w:val="0"/>
  </w:num>
  <w:num w:numId="34">
    <w:abstractNumId w:val="36"/>
  </w:num>
  <w:num w:numId="35">
    <w:abstractNumId w:val="37"/>
  </w:num>
  <w:num w:numId="36">
    <w:abstractNumId w:val="18"/>
  </w:num>
  <w:num w:numId="37">
    <w:abstractNumId w:val="12"/>
  </w:num>
  <w:num w:numId="38">
    <w:abstractNumId w:val="11"/>
  </w:num>
  <w:num w:numId="39">
    <w:abstractNumId w:val="34"/>
  </w:num>
  <w:num w:numId="40">
    <w:abstractNumId w:val="32"/>
  </w:num>
  <w:num w:numId="41">
    <w:abstractNumId w:val="30"/>
  </w:num>
  <w:num w:numId="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26"/>
    <w:rsid w:val="000107E0"/>
    <w:rsid w:val="00040F9A"/>
    <w:rsid w:val="00057463"/>
    <w:rsid w:val="00063C25"/>
    <w:rsid w:val="00066FC6"/>
    <w:rsid w:val="00081687"/>
    <w:rsid w:val="00095AAA"/>
    <w:rsid w:val="000A14EC"/>
    <w:rsid w:val="000A4CF9"/>
    <w:rsid w:val="000A6FDC"/>
    <w:rsid w:val="000A7164"/>
    <w:rsid w:val="000F0022"/>
    <w:rsid w:val="000F2DF1"/>
    <w:rsid w:val="001005BA"/>
    <w:rsid w:val="001115B4"/>
    <w:rsid w:val="00126A5C"/>
    <w:rsid w:val="0015164C"/>
    <w:rsid w:val="00155616"/>
    <w:rsid w:val="00163C99"/>
    <w:rsid w:val="001A7143"/>
    <w:rsid w:val="001B6D11"/>
    <w:rsid w:val="001C0C3E"/>
    <w:rsid w:val="001D0589"/>
    <w:rsid w:val="001F6726"/>
    <w:rsid w:val="00211AAA"/>
    <w:rsid w:val="00246FF0"/>
    <w:rsid w:val="0024759D"/>
    <w:rsid w:val="002874E1"/>
    <w:rsid w:val="002C09FC"/>
    <w:rsid w:val="002C3357"/>
    <w:rsid w:val="002C3535"/>
    <w:rsid w:val="002E1562"/>
    <w:rsid w:val="002F3391"/>
    <w:rsid w:val="002F7689"/>
    <w:rsid w:val="00313600"/>
    <w:rsid w:val="00330B7C"/>
    <w:rsid w:val="0033189F"/>
    <w:rsid w:val="0035666E"/>
    <w:rsid w:val="00383571"/>
    <w:rsid w:val="003877BD"/>
    <w:rsid w:val="003904C2"/>
    <w:rsid w:val="003A7BF4"/>
    <w:rsid w:val="003B3CE1"/>
    <w:rsid w:val="003E0AA4"/>
    <w:rsid w:val="003E10D9"/>
    <w:rsid w:val="003E5152"/>
    <w:rsid w:val="00410FDA"/>
    <w:rsid w:val="00420F07"/>
    <w:rsid w:val="00454AC4"/>
    <w:rsid w:val="00456B45"/>
    <w:rsid w:val="00464308"/>
    <w:rsid w:val="004668F5"/>
    <w:rsid w:val="0048537C"/>
    <w:rsid w:val="004A7CE8"/>
    <w:rsid w:val="004C0027"/>
    <w:rsid w:val="004C7BB7"/>
    <w:rsid w:val="004D3574"/>
    <w:rsid w:val="004D49D8"/>
    <w:rsid w:val="004D4E51"/>
    <w:rsid w:val="00524B4F"/>
    <w:rsid w:val="00547705"/>
    <w:rsid w:val="005717EC"/>
    <w:rsid w:val="0057480C"/>
    <w:rsid w:val="00591209"/>
    <w:rsid w:val="005A5440"/>
    <w:rsid w:val="005F57A0"/>
    <w:rsid w:val="006162AE"/>
    <w:rsid w:val="0061636E"/>
    <w:rsid w:val="006263AC"/>
    <w:rsid w:val="006326B3"/>
    <w:rsid w:val="0064216F"/>
    <w:rsid w:val="0064390F"/>
    <w:rsid w:val="00650023"/>
    <w:rsid w:val="0065791E"/>
    <w:rsid w:val="006733A6"/>
    <w:rsid w:val="00675920"/>
    <w:rsid w:val="00692C1F"/>
    <w:rsid w:val="00695171"/>
    <w:rsid w:val="006A3AA9"/>
    <w:rsid w:val="006A5B36"/>
    <w:rsid w:val="006B65CB"/>
    <w:rsid w:val="006C4609"/>
    <w:rsid w:val="006C699B"/>
    <w:rsid w:val="006D5FE2"/>
    <w:rsid w:val="006D612A"/>
    <w:rsid w:val="0071410E"/>
    <w:rsid w:val="0071789E"/>
    <w:rsid w:val="00736EBC"/>
    <w:rsid w:val="007477CE"/>
    <w:rsid w:val="00750B5B"/>
    <w:rsid w:val="007510A4"/>
    <w:rsid w:val="00755333"/>
    <w:rsid w:val="00761A4B"/>
    <w:rsid w:val="00771297"/>
    <w:rsid w:val="00780A9D"/>
    <w:rsid w:val="007877DB"/>
    <w:rsid w:val="007A5090"/>
    <w:rsid w:val="007E49B6"/>
    <w:rsid w:val="007F5E80"/>
    <w:rsid w:val="00806115"/>
    <w:rsid w:val="00812CCB"/>
    <w:rsid w:val="00814696"/>
    <w:rsid w:val="008449AB"/>
    <w:rsid w:val="0087640C"/>
    <w:rsid w:val="00883C04"/>
    <w:rsid w:val="00884182"/>
    <w:rsid w:val="008A18A3"/>
    <w:rsid w:val="008B7E5B"/>
    <w:rsid w:val="008C2616"/>
    <w:rsid w:val="008D32ED"/>
    <w:rsid w:val="008D5DD0"/>
    <w:rsid w:val="008E4179"/>
    <w:rsid w:val="008F27F9"/>
    <w:rsid w:val="0091438D"/>
    <w:rsid w:val="0092078E"/>
    <w:rsid w:val="00933C93"/>
    <w:rsid w:val="00940AFD"/>
    <w:rsid w:val="0095697E"/>
    <w:rsid w:val="00962377"/>
    <w:rsid w:val="009643FD"/>
    <w:rsid w:val="009710A7"/>
    <w:rsid w:val="00990628"/>
    <w:rsid w:val="009D1F3E"/>
    <w:rsid w:val="009D5425"/>
    <w:rsid w:val="009E3212"/>
    <w:rsid w:val="009E471C"/>
    <w:rsid w:val="009F5B19"/>
    <w:rsid w:val="00A46CE9"/>
    <w:rsid w:val="00A55FE5"/>
    <w:rsid w:val="00A67CED"/>
    <w:rsid w:val="00A96102"/>
    <w:rsid w:val="00A96602"/>
    <w:rsid w:val="00AA1824"/>
    <w:rsid w:val="00AA1D7E"/>
    <w:rsid w:val="00AE3103"/>
    <w:rsid w:val="00AE794B"/>
    <w:rsid w:val="00AF7065"/>
    <w:rsid w:val="00B072CA"/>
    <w:rsid w:val="00B16063"/>
    <w:rsid w:val="00B43501"/>
    <w:rsid w:val="00B63076"/>
    <w:rsid w:val="00B72506"/>
    <w:rsid w:val="00B734AE"/>
    <w:rsid w:val="00B76A8B"/>
    <w:rsid w:val="00BA52E2"/>
    <w:rsid w:val="00BD5344"/>
    <w:rsid w:val="00BE440B"/>
    <w:rsid w:val="00BF0559"/>
    <w:rsid w:val="00C1055A"/>
    <w:rsid w:val="00C3744C"/>
    <w:rsid w:val="00C4670D"/>
    <w:rsid w:val="00C764BE"/>
    <w:rsid w:val="00C771FF"/>
    <w:rsid w:val="00C9258F"/>
    <w:rsid w:val="00CA4EE5"/>
    <w:rsid w:val="00CD1A44"/>
    <w:rsid w:val="00CE6F37"/>
    <w:rsid w:val="00D2420D"/>
    <w:rsid w:val="00D60850"/>
    <w:rsid w:val="00D71EDD"/>
    <w:rsid w:val="00D72018"/>
    <w:rsid w:val="00D72B4E"/>
    <w:rsid w:val="00DA1209"/>
    <w:rsid w:val="00DA4B4C"/>
    <w:rsid w:val="00DA4E31"/>
    <w:rsid w:val="00DC131F"/>
    <w:rsid w:val="00E02972"/>
    <w:rsid w:val="00E1579C"/>
    <w:rsid w:val="00E342CA"/>
    <w:rsid w:val="00E377DA"/>
    <w:rsid w:val="00E45EC3"/>
    <w:rsid w:val="00E6701A"/>
    <w:rsid w:val="00E843E9"/>
    <w:rsid w:val="00EC4CFA"/>
    <w:rsid w:val="00EC581D"/>
    <w:rsid w:val="00ED355C"/>
    <w:rsid w:val="00EE118D"/>
    <w:rsid w:val="00EE7B01"/>
    <w:rsid w:val="00F00E02"/>
    <w:rsid w:val="00F05739"/>
    <w:rsid w:val="00F06028"/>
    <w:rsid w:val="00F06243"/>
    <w:rsid w:val="00F06DD8"/>
    <w:rsid w:val="00F34AEF"/>
    <w:rsid w:val="00F42BAF"/>
    <w:rsid w:val="00F459C3"/>
    <w:rsid w:val="00F60363"/>
    <w:rsid w:val="00F8414C"/>
    <w:rsid w:val="00F94F64"/>
    <w:rsid w:val="00FA078E"/>
    <w:rsid w:val="00FB1E09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0CB113B8-97EF-4528-9C13-BD456102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64390F"/>
    <w:rPr>
      <w:rFonts w:ascii="Lucida Grande" w:hAnsi="Lucida Grande"/>
      <w:b/>
      <w:color w:val="000000"/>
      <w:sz w:val="20"/>
    </w:rPr>
  </w:style>
  <w:style w:type="paragraph" w:styleId="Corptext">
    <w:name w:val="Body Text"/>
    <w:basedOn w:val="Normal"/>
    <w:link w:val="CorptextCaracter"/>
    <w:uiPriority w:val="1"/>
    <w:qFormat/>
    <w:rsid w:val="00591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59120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F5B1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F5B19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9F5B19"/>
    <w:rPr>
      <w:vertAlign w:val="superscript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7877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BAE5-5140-4CC4-B1DE-B96F95EB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1146</Words>
  <Characters>6651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8</cp:revision>
  <cp:lastPrinted>2020-06-29T11:10:00Z</cp:lastPrinted>
  <dcterms:created xsi:type="dcterms:W3CDTF">2020-09-30T15:09:00Z</dcterms:created>
  <dcterms:modified xsi:type="dcterms:W3CDTF">2020-10-01T10:45:00Z</dcterms:modified>
</cp:coreProperties>
</file>